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E56C27" w14:textId="77777777" w:rsidR="00620392" w:rsidRPr="001A7D84" w:rsidRDefault="00620392">
      <w:pPr>
        <w:spacing w:line="360" w:lineRule="auto"/>
        <w:jc w:val="center"/>
        <w:rPr>
          <w:rFonts w:ascii="Times New Roman" w:hAnsi="Times New Roman" w:cs="Times New Roman"/>
          <w:b/>
          <w:bCs/>
          <w:smallCaps/>
          <w:kern w:val="2"/>
          <w:sz w:val="16"/>
          <w:szCs w:val="16"/>
        </w:rPr>
      </w:pPr>
    </w:p>
    <w:p w14:paraId="1F53203E" w14:textId="5CF6D278" w:rsidR="00620392" w:rsidRDefault="00620392">
      <w:pPr>
        <w:spacing w:line="360" w:lineRule="auto"/>
        <w:jc w:val="center"/>
        <w:rPr>
          <w:rFonts w:ascii="Times New Roman" w:hAnsi="Times New Roman" w:cs="Times New Roman"/>
          <w:b/>
          <w:bCs/>
          <w:smallCaps/>
          <w:kern w:val="2"/>
          <w:sz w:val="24"/>
          <w:szCs w:val="24"/>
        </w:rPr>
      </w:pPr>
      <w:r>
        <w:rPr>
          <w:noProof/>
        </w:rPr>
        <w:drawing>
          <wp:inline distT="0" distB="0" distL="0" distR="0" wp14:anchorId="51DADD07" wp14:editId="545E38F9">
            <wp:extent cx="1038225" cy="885739"/>
            <wp:effectExtent l="0" t="0" r="0" b="0"/>
            <wp:docPr id="23" name="Imagem 23" descr="Imagem de desenho animad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Imagem de desenho animado&#10;&#10;Descrição gerada automaticamente com confiança baix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43237" cy="890015"/>
                    </a:xfrm>
                    <a:prstGeom prst="rect">
                      <a:avLst/>
                    </a:prstGeom>
                    <a:noFill/>
                    <a:ln>
                      <a:noFill/>
                    </a:ln>
                  </pic:spPr>
                </pic:pic>
              </a:graphicData>
            </a:graphic>
          </wp:inline>
        </w:drawing>
      </w:r>
    </w:p>
    <w:p w14:paraId="03F51AF1" w14:textId="1C78084F" w:rsidR="00620392" w:rsidRDefault="00620392">
      <w:pPr>
        <w:spacing w:line="360" w:lineRule="auto"/>
        <w:jc w:val="center"/>
        <w:rPr>
          <w:rFonts w:ascii="Times New Roman" w:hAnsi="Times New Roman" w:cs="Times New Roman"/>
          <w:b/>
          <w:bCs/>
          <w:smallCaps/>
          <w:kern w:val="2"/>
          <w:sz w:val="24"/>
          <w:szCs w:val="24"/>
        </w:rPr>
      </w:pPr>
    </w:p>
    <w:p w14:paraId="0B47D44E" w14:textId="037E68E4" w:rsidR="003439FA" w:rsidRDefault="00F60BA1">
      <w:pPr>
        <w:spacing w:line="360" w:lineRule="auto"/>
        <w:jc w:val="center"/>
      </w:pPr>
      <w:r w:rsidRPr="00DD4584">
        <w:rPr>
          <w:rFonts w:ascii="Times New Roman" w:hAnsi="Times New Roman" w:cs="Times New Roman"/>
          <w:b/>
          <w:bCs/>
          <w:smallCaps/>
          <w:kern w:val="2"/>
          <w:sz w:val="24"/>
          <w:szCs w:val="24"/>
        </w:rPr>
        <w:t xml:space="preserve">Relatório Técnico </w:t>
      </w:r>
      <w:r>
        <w:rPr>
          <w:rFonts w:ascii="Times New Roman" w:hAnsi="Times New Roman" w:cs="Times New Roman"/>
          <w:b/>
          <w:bCs/>
          <w:smallCaps/>
          <w:kern w:val="2"/>
          <w:sz w:val="24"/>
          <w:szCs w:val="24"/>
        </w:rPr>
        <w:t xml:space="preserve">Sobre Desmatamento e Invasões </w:t>
      </w:r>
      <w:r>
        <w:rPr>
          <w:rFonts w:ascii="Times New Roman" w:hAnsi="Times New Roman" w:cs="Times New Roman"/>
          <w:b/>
          <w:bCs/>
          <w:smallCaps/>
          <w:kern w:val="2"/>
          <w:sz w:val="24"/>
          <w:szCs w:val="24"/>
        </w:rPr>
        <w:t xml:space="preserve">nas </w:t>
      </w:r>
      <w:r>
        <w:rPr>
          <w:rFonts w:ascii="Times New Roman" w:hAnsi="Times New Roman" w:cs="Times New Roman"/>
          <w:b/>
          <w:bCs/>
          <w:smallCaps/>
          <w:kern w:val="2"/>
          <w:sz w:val="24"/>
          <w:szCs w:val="24"/>
        </w:rPr>
        <w:t xml:space="preserve">Terras Indígenas </w:t>
      </w:r>
      <w:r>
        <w:rPr>
          <w:rFonts w:ascii="Times New Roman" w:hAnsi="Times New Roman" w:cs="Times New Roman"/>
          <w:b/>
          <w:bCs/>
          <w:smallCaps/>
          <w:kern w:val="2"/>
          <w:sz w:val="24"/>
          <w:szCs w:val="24"/>
        </w:rPr>
        <w:t>Jacareúba-Katawixi e Pirititi</w:t>
      </w:r>
      <w:r w:rsidRPr="00DD4584">
        <w:rPr>
          <w:rFonts w:ascii="Times New Roman" w:hAnsi="Times New Roman" w:cs="Times New Roman"/>
          <w:b/>
          <w:bCs/>
          <w:smallCaps/>
          <w:kern w:val="2"/>
          <w:sz w:val="24"/>
          <w:szCs w:val="24"/>
        </w:rPr>
        <w:t xml:space="preserve"> </w:t>
      </w:r>
      <w:r w:rsidR="00D05202">
        <w:rPr>
          <w:rStyle w:val="ncoradanotaderodap"/>
          <w:rFonts w:ascii="Times New Roman" w:hAnsi="Times New Roman" w:cs="Times New Roman"/>
          <w:b/>
          <w:bCs/>
          <w:smallCaps/>
          <w:kern w:val="2"/>
          <w:sz w:val="24"/>
          <w:szCs w:val="24"/>
        </w:rPr>
        <w:footnoteReference w:id="1"/>
      </w:r>
    </w:p>
    <w:p w14:paraId="5DA87BD1" w14:textId="77777777" w:rsidR="003439FA" w:rsidRPr="001A7D84" w:rsidRDefault="003439FA">
      <w:pPr>
        <w:spacing w:line="360" w:lineRule="auto"/>
        <w:ind w:firstLine="1134"/>
        <w:jc w:val="both"/>
        <w:rPr>
          <w:rFonts w:ascii="Times New Roman" w:eastAsia="Times New Roman" w:hAnsi="Times New Roman" w:cs="Times New Roman"/>
          <w:b/>
          <w:sz w:val="16"/>
          <w:szCs w:val="16"/>
        </w:rPr>
      </w:pPr>
    </w:p>
    <w:p w14:paraId="23A2E5B5" w14:textId="77777777" w:rsidR="003439FA" w:rsidRDefault="00D05202">
      <w:pPr>
        <w:spacing w:line="240" w:lineRule="auto"/>
        <w:ind w:firstLine="1134"/>
        <w:jc w:val="right"/>
      </w:pPr>
      <w:r>
        <w:rPr>
          <w:rFonts w:ascii="Times New Roman" w:eastAsia="Times New Roman" w:hAnsi="Times New Roman" w:cs="Times New Roman"/>
          <w:i/>
        </w:rPr>
        <w:t>Antonio Oviedo</w:t>
      </w:r>
      <w:r>
        <w:rPr>
          <w:rStyle w:val="ncoradanotaderodap"/>
          <w:rFonts w:ascii="Times New Roman" w:eastAsia="Times New Roman" w:hAnsi="Times New Roman" w:cs="Times New Roman"/>
          <w:i/>
        </w:rPr>
        <w:footnoteReference w:id="2"/>
      </w:r>
    </w:p>
    <w:p w14:paraId="208898BD" w14:textId="68DE9513" w:rsidR="003439FA" w:rsidRDefault="00D05202" w:rsidP="00317CD7">
      <w:pPr>
        <w:spacing w:line="240" w:lineRule="auto"/>
        <w:ind w:firstLine="1134"/>
        <w:jc w:val="right"/>
        <w:rPr>
          <w:rFonts w:ascii="Times New Roman" w:eastAsia="Times New Roman" w:hAnsi="Times New Roman" w:cs="Times New Roman"/>
          <w:i/>
        </w:rPr>
      </w:pPr>
      <w:r>
        <w:rPr>
          <w:rFonts w:ascii="Times New Roman" w:eastAsia="Times New Roman" w:hAnsi="Times New Roman" w:cs="Times New Roman"/>
          <w:i/>
        </w:rPr>
        <w:t>Tiago Moreira dos Santos</w:t>
      </w:r>
      <w:r>
        <w:rPr>
          <w:rStyle w:val="ncoradanotaderodap"/>
          <w:rFonts w:ascii="Times New Roman" w:eastAsia="Times New Roman" w:hAnsi="Times New Roman" w:cs="Times New Roman"/>
          <w:i/>
        </w:rPr>
        <w:footnoteReference w:id="3"/>
      </w:r>
    </w:p>
    <w:p w14:paraId="1FAA3109" w14:textId="77777777" w:rsidR="00DC71F1" w:rsidRDefault="00DC71F1" w:rsidP="00DC71F1">
      <w:pPr>
        <w:spacing w:line="240" w:lineRule="auto"/>
        <w:ind w:firstLine="1134"/>
        <w:jc w:val="right"/>
      </w:pPr>
      <w:r>
        <w:rPr>
          <w:rFonts w:ascii="Times New Roman" w:eastAsia="Times New Roman" w:hAnsi="Times New Roman" w:cs="Times New Roman"/>
          <w:i/>
        </w:rPr>
        <w:t>Juliana de Paula Batista</w:t>
      </w:r>
      <w:r>
        <w:rPr>
          <w:rStyle w:val="ncoradanotaderodap"/>
          <w:rFonts w:ascii="Times New Roman" w:eastAsia="Times New Roman" w:hAnsi="Times New Roman" w:cs="Times New Roman"/>
          <w:i/>
        </w:rPr>
        <w:footnoteReference w:id="4"/>
      </w:r>
    </w:p>
    <w:p w14:paraId="3E09F935" w14:textId="77777777" w:rsidR="00DC71F1" w:rsidRPr="00317CD7" w:rsidRDefault="00DC71F1" w:rsidP="00317CD7">
      <w:pPr>
        <w:spacing w:line="240" w:lineRule="auto"/>
        <w:ind w:firstLine="1134"/>
        <w:jc w:val="right"/>
      </w:pPr>
    </w:p>
    <w:p w14:paraId="3358548A" w14:textId="77777777" w:rsidR="003439FA" w:rsidRPr="001A7D84" w:rsidRDefault="003439FA">
      <w:pPr>
        <w:spacing w:line="240" w:lineRule="auto"/>
        <w:ind w:firstLine="1134"/>
        <w:jc w:val="right"/>
        <w:rPr>
          <w:rFonts w:ascii="Times New Roman" w:eastAsia="Times New Roman" w:hAnsi="Times New Roman" w:cs="Times New Roman"/>
          <w:sz w:val="16"/>
          <w:szCs w:val="16"/>
        </w:rPr>
      </w:pPr>
    </w:p>
    <w:p w14:paraId="5EB00FB7" w14:textId="69B850D0" w:rsidR="003439FA" w:rsidRDefault="00D05202">
      <w:pPr>
        <w:spacing w:line="360" w:lineRule="auto"/>
        <w:rPr>
          <w:rFonts w:ascii="Times New Roman" w:hAnsi="Times New Roman" w:cs="Times New Roman"/>
          <w:b/>
          <w:bCs/>
          <w:smallCaps/>
          <w:kern w:val="2"/>
          <w:sz w:val="24"/>
          <w:szCs w:val="24"/>
        </w:rPr>
      </w:pPr>
      <w:r>
        <w:rPr>
          <w:rFonts w:ascii="Times New Roman" w:hAnsi="Times New Roman" w:cs="Times New Roman"/>
          <w:b/>
          <w:bCs/>
          <w:smallCaps/>
          <w:kern w:val="2"/>
          <w:sz w:val="24"/>
          <w:szCs w:val="24"/>
        </w:rPr>
        <w:t>1. Notas Introdutórias</w:t>
      </w:r>
    </w:p>
    <w:p w14:paraId="2357DAAA" w14:textId="75DE9171" w:rsidR="003439FA" w:rsidRDefault="003439FA">
      <w:pPr>
        <w:pStyle w:val="PargrafodaLista"/>
        <w:spacing w:line="360" w:lineRule="auto"/>
        <w:jc w:val="both"/>
        <w:rPr>
          <w:rFonts w:ascii="Times New Roman" w:eastAsia="Times New Roman" w:hAnsi="Times New Roman" w:cs="Times New Roman"/>
          <w:sz w:val="24"/>
          <w:szCs w:val="24"/>
          <w:highlight w:val="white"/>
        </w:rPr>
      </w:pPr>
    </w:p>
    <w:p w14:paraId="25DCF75F" w14:textId="2E3BB841" w:rsidR="00DC71F1" w:rsidRDefault="00D05202" w:rsidP="00DC71F1">
      <w:pPr>
        <w:spacing w:line="360" w:lineRule="auto"/>
        <w:ind w:firstLine="851"/>
        <w:jc w:val="both"/>
        <w:rPr>
          <w:rFonts w:ascii="Times New Roman" w:eastAsia="Times New Roman" w:hAnsi="Times New Roman" w:cs="Times New Roman"/>
          <w:bCs/>
          <w:sz w:val="24"/>
          <w:szCs w:val="24"/>
        </w:rPr>
      </w:pPr>
      <w:r>
        <w:rPr>
          <w:rFonts w:ascii="Times New Roman" w:eastAsia="Times New Roman" w:hAnsi="Times New Roman" w:cs="Times New Roman"/>
          <w:sz w:val="24"/>
          <w:szCs w:val="24"/>
        </w:rPr>
        <w:t xml:space="preserve">O presente Relatório é um diagnóstico </w:t>
      </w:r>
      <w:r w:rsidR="00620392">
        <w:rPr>
          <w:rFonts w:ascii="Times New Roman" w:eastAsia="Times New Roman" w:hAnsi="Times New Roman" w:cs="Times New Roman"/>
          <w:sz w:val="24"/>
          <w:szCs w:val="24"/>
        </w:rPr>
        <w:t xml:space="preserve">da escalada de invasões, </w:t>
      </w:r>
      <w:r>
        <w:rPr>
          <w:rFonts w:ascii="Times New Roman" w:eastAsia="Times New Roman" w:hAnsi="Times New Roman" w:cs="Times New Roman"/>
          <w:sz w:val="24"/>
          <w:szCs w:val="24"/>
        </w:rPr>
        <w:t xml:space="preserve">desmatamento e degradação florestal </w:t>
      </w:r>
      <w:r w:rsidR="00620392">
        <w:rPr>
          <w:rFonts w:ascii="Times New Roman" w:eastAsia="Times New Roman" w:hAnsi="Times New Roman" w:cs="Times New Roman"/>
          <w:sz w:val="24"/>
          <w:szCs w:val="24"/>
        </w:rPr>
        <w:t>que a</w:t>
      </w:r>
      <w:r w:rsidR="00F60BA1">
        <w:rPr>
          <w:rFonts w:ascii="Times New Roman" w:eastAsia="Times New Roman" w:hAnsi="Times New Roman" w:cs="Times New Roman"/>
          <w:sz w:val="24"/>
          <w:szCs w:val="24"/>
        </w:rPr>
        <w:t>s</w:t>
      </w:r>
      <w:r w:rsidR="00620392">
        <w:rPr>
          <w:rFonts w:ascii="Times New Roman" w:eastAsia="Times New Roman" w:hAnsi="Times New Roman" w:cs="Times New Roman"/>
          <w:sz w:val="24"/>
          <w:szCs w:val="24"/>
        </w:rPr>
        <w:t xml:space="preserve"> Terra</w:t>
      </w:r>
      <w:r w:rsidR="00F60BA1">
        <w:rPr>
          <w:rFonts w:ascii="Times New Roman" w:eastAsia="Times New Roman" w:hAnsi="Times New Roman" w:cs="Times New Roman"/>
          <w:sz w:val="24"/>
          <w:szCs w:val="24"/>
        </w:rPr>
        <w:t>s</w:t>
      </w:r>
      <w:r w:rsidR="00620392">
        <w:rPr>
          <w:rFonts w:ascii="Times New Roman" w:eastAsia="Times New Roman" w:hAnsi="Times New Roman" w:cs="Times New Roman"/>
          <w:sz w:val="24"/>
          <w:szCs w:val="24"/>
        </w:rPr>
        <w:t xml:space="preserve"> Indígena</w:t>
      </w:r>
      <w:r w:rsidR="00F60BA1">
        <w:rPr>
          <w:rFonts w:ascii="Times New Roman" w:eastAsia="Times New Roman" w:hAnsi="Times New Roman" w:cs="Times New Roman"/>
          <w:sz w:val="24"/>
          <w:szCs w:val="24"/>
        </w:rPr>
        <w:t xml:space="preserve">s Jacareúba-Katawixi e Pirititi </w:t>
      </w:r>
      <w:r w:rsidR="00620392">
        <w:rPr>
          <w:rFonts w:ascii="Times New Roman" w:eastAsia="Times New Roman" w:hAnsi="Times New Roman" w:cs="Times New Roman"/>
          <w:sz w:val="24"/>
          <w:szCs w:val="24"/>
        </w:rPr>
        <w:t>v</w:t>
      </w:r>
      <w:r w:rsidR="00F60BA1">
        <w:rPr>
          <w:rFonts w:ascii="Times New Roman" w:eastAsia="Times New Roman" w:hAnsi="Times New Roman" w:cs="Times New Roman"/>
          <w:sz w:val="24"/>
          <w:szCs w:val="24"/>
        </w:rPr>
        <w:t>ê</w:t>
      </w:r>
      <w:r w:rsidR="00620392">
        <w:rPr>
          <w:rFonts w:ascii="Times New Roman" w:eastAsia="Times New Roman" w:hAnsi="Times New Roman" w:cs="Times New Roman"/>
          <w:sz w:val="24"/>
          <w:szCs w:val="24"/>
        </w:rPr>
        <w:t xml:space="preserve">m sofrendo. </w:t>
      </w:r>
      <w:r w:rsidR="00F60BA1">
        <w:rPr>
          <w:rFonts w:ascii="Times New Roman" w:eastAsia="Times New Roman" w:hAnsi="Times New Roman" w:cs="Times New Roman"/>
          <w:sz w:val="24"/>
          <w:szCs w:val="24"/>
        </w:rPr>
        <w:t xml:space="preserve">As pressões e ameaças </w:t>
      </w:r>
      <w:r>
        <w:rPr>
          <w:rFonts w:ascii="Times New Roman" w:eastAsia="Times New Roman" w:hAnsi="Times New Roman" w:cs="Times New Roman"/>
          <w:bCs/>
          <w:sz w:val="24"/>
          <w:szCs w:val="24"/>
        </w:rPr>
        <w:t>avançaram durante a pandemia</w:t>
      </w:r>
      <w:r w:rsidR="00620392">
        <w:rPr>
          <w:rFonts w:ascii="Times New Roman" w:eastAsia="Times New Roman" w:hAnsi="Times New Roman" w:cs="Times New Roman"/>
          <w:bCs/>
          <w:sz w:val="24"/>
          <w:szCs w:val="24"/>
        </w:rPr>
        <w:t>, coincidindo também com o período de término da vigência da</w:t>
      </w:r>
      <w:r w:rsidR="00F60BA1">
        <w:rPr>
          <w:rFonts w:ascii="Times New Roman" w:eastAsia="Times New Roman" w:hAnsi="Times New Roman" w:cs="Times New Roman"/>
          <w:bCs/>
          <w:sz w:val="24"/>
          <w:szCs w:val="24"/>
        </w:rPr>
        <w:t>s</w:t>
      </w:r>
      <w:r w:rsidR="00620392">
        <w:rPr>
          <w:rFonts w:ascii="Times New Roman" w:eastAsia="Times New Roman" w:hAnsi="Times New Roman" w:cs="Times New Roman"/>
          <w:bCs/>
          <w:sz w:val="24"/>
          <w:szCs w:val="24"/>
        </w:rPr>
        <w:t xml:space="preserve"> Portaria</w:t>
      </w:r>
      <w:r w:rsidR="00F60BA1">
        <w:rPr>
          <w:rFonts w:ascii="Times New Roman" w:eastAsia="Times New Roman" w:hAnsi="Times New Roman" w:cs="Times New Roman"/>
          <w:bCs/>
          <w:sz w:val="24"/>
          <w:szCs w:val="24"/>
        </w:rPr>
        <w:t>s</w:t>
      </w:r>
      <w:r w:rsidR="00620392">
        <w:rPr>
          <w:rFonts w:ascii="Times New Roman" w:eastAsia="Times New Roman" w:hAnsi="Times New Roman" w:cs="Times New Roman"/>
          <w:bCs/>
          <w:sz w:val="24"/>
          <w:szCs w:val="24"/>
        </w:rPr>
        <w:t xml:space="preserve"> de Restrição de Uso, que deveria</w:t>
      </w:r>
      <w:r w:rsidR="00F60BA1">
        <w:rPr>
          <w:rFonts w:ascii="Times New Roman" w:eastAsia="Times New Roman" w:hAnsi="Times New Roman" w:cs="Times New Roman"/>
          <w:bCs/>
          <w:sz w:val="24"/>
          <w:szCs w:val="24"/>
        </w:rPr>
        <w:t>m</w:t>
      </w:r>
      <w:r w:rsidR="00620392">
        <w:rPr>
          <w:rFonts w:ascii="Times New Roman" w:eastAsia="Times New Roman" w:hAnsi="Times New Roman" w:cs="Times New Roman"/>
          <w:bCs/>
          <w:sz w:val="24"/>
          <w:szCs w:val="24"/>
        </w:rPr>
        <w:t xml:space="preserve"> proteger o território e o grupo de índios isolados que ali vivem. </w:t>
      </w:r>
      <w:r w:rsidR="008F7721">
        <w:rPr>
          <w:rFonts w:ascii="Times New Roman" w:eastAsia="Times New Roman" w:hAnsi="Times New Roman" w:cs="Times New Roman"/>
          <w:bCs/>
          <w:sz w:val="24"/>
          <w:szCs w:val="24"/>
        </w:rPr>
        <w:t>A degradação ambiental, registrada nesse</w:t>
      </w:r>
      <w:r w:rsidR="00F60BA1">
        <w:rPr>
          <w:rFonts w:ascii="Times New Roman" w:eastAsia="Times New Roman" w:hAnsi="Times New Roman" w:cs="Times New Roman"/>
          <w:bCs/>
          <w:sz w:val="24"/>
          <w:szCs w:val="24"/>
        </w:rPr>
        <w:t>s</w:t>
      </w:r>
      <w:r w:rsidR="008F7721">
        <w:rPr>
          <w:rFonts w:ascii="Times New Roman" w:eastAsia="Times New Roman" w:hAnsi="Times New Roman" w:cs="Times New Roman"/>
          <w:bCs/>
          <w:sz w:val="24"/>
          <w:szCs w:val="24"/>
        </w:rPr>
        <w:t xml:space="preserve"> território</w:t>
      </w:r>
      <w:r w:rsidR="00F60BA1">
        <w:rPr>
          <w:rFonts w:ascii="Times New Roman" w:eastAsia="Times New Roman" w:hAnsi="Times New Roman" w:cs="Times New Roman"/>
          <w:bCs/>
          <w:sz w:val="24"/>
          <w:szCs w:val="24"/>
        </w:rPr>
        <w:t>s</w:t>
      </w:r>
      <w:r w:rsidR="008F7721">
        <w:rPr>
          <w:rFonts w:ascii="Times New Roman" w:eastAsia="Times New Roman" w:hAnsi="Times New Roman" w:cs="Times New Roman"/>
          <w:bCs/>
          <w:sz w:val="24"/>
          <w:szCs w:val="24"/>
        </w:rPr>
        <w:t xml:space="preserve"> por meio de </w:t>
      </w:r>
      <w:r w:rsidR="00F60BA1">
        <w:rPr>
          <w:rFonts w:ascii="Times New Roman" w:eastAsia="Times New Roman" w:hAnsi="Times New Roman" w:cs="Times New Roman"/>
          <w:bCs/>
          <w:sz w:val="24"/>
          <w:szCs w:val="24"/>
        </w:rPr>
        <w:t xml:space="preserve">sistemas de monitoramento do desmatamento e avaliação dos projetos de desenvolvimento na região (i.e. obras de infraestrutura, processos minerários), </w:t>
      </w:r>
      <w:r w:rsidR="008F7721">
        <w:rPr>
          <w:rFonts w:ascii="Times New Roman" w:eastAsia="Times New Roman" w:hAnsi="Times New Roman" w:cs="Times New Roman"/>
          <w:bCs/>
          <w:sz w:val="24"/>
          <w:szCs w:val="24"/>
        </w:rPr>
        <w:t xml:space="preserve">e consequente violação de direitos dos povos indígenas </w:t>
      </w:r>
      <w:r>
        <w:rPr>
          <w:rFonts w:ascii="Times New Roman" w:eastAsia="Times New Roman" w:hAnsi="Times New Roman" w:cs="Times New Roman"/>
          <w:bCs/>
          <w:sz w:val="24"/>
          <w:szCs w:val="24"/>
        </w:rPr>
        <w:t xml:space="preserve">oferecem risco </w:t>
      </w:r>
      <w:r w:rsidR="008F7721">
        <w:rPr>
          <w:rFonts w:ascii="Times New Roman" w:eastAsia="Times New Roman" w:hAnsi="Times New Roman" w:cs="Times New Roman"/>
          <w:bCs/>
          <w:sz w:val="24"/>
          <w:szCs w:val="24"/>
        </w:rPr>
        <w:t>à segurança física e alimentar deste</w:t>
      </w:r>
      <w:r w:rsidR="001A7D84">
        <w:rPr>
          <w:rFonts w:ascii="Times New Roman" w:eastAsia="Times New Roman" w:hAnsi="Times New Roman" w:cs="Times New Roman"/>
          <w:bCs/>
          <w:sz w:val="24"/>
          <w:szCs w:val="24"/>
        </w:rPr>
        <w:t>s</w:t>
      </w:r>
      <w:r w:rsidR="008F7721">
        <w:rPr>
          <w:rFonts w:ascii="Times New Roman" w:eastAsia="Times New Roman" w:hAnsi="Times New Roman" w:cs="Times New Roman"/>
          <w:bCs/>
          <w:sz w:val="24"/>
          <w:szCs w:val="24"/>
        </w:rPr>
        <w:t xml:space="preserve"> grupo</w:t>
      </w:r>
      <w:r w:rsidR="001A7D84">
        <w:rPr>
          <w:rFonts w:ascii="Times New Roman" w:eastAsia="Times New Roman" w:hAnsi="Times New Roman" w:cs="Times New Roman"/>
          <w:bCs/>
          <w:sz w:val="24"/>
          <w:szCs w:val="24"/>
        </w:rPr>
        <w:t>s</w:t>
      </w:r>
      <w:r w:rsidR="008F7721">
        <w:rPr>
          <w:rFonts w:ascii="Times New Roman" w:eastAsia="Times New Roman" w:hAnsi="Times New Roman" w:cs="Times New Roman"/>
          <w:bCs/>
          <w:sz w:val="24"/>
          <w:szCs w:val="24"/>
        </w:rPr>
        <w:t xml:space="preserve">, e de infecção da Covid-19 </w:t>
      </w:r>
      <w:r>
        <w:rPr>
          <w:rFonts w:ascii="Times New Roman" w:eastAsia="Times New Roman" w:hAnsi="Times New Roman" w:cs="Times New Roman"/>
          <w:bCs/>
          <w:sz w:val="24"/>
          <w:szCs w:val="24"/>
        </w:rPr>
        <w:t xml:space="preserve">em razão da presença </w:t>
      </w:r>
      <w:r w:rsidR="008F7721">
        <w:rPr>
          <w:rFonts w:ascii="Times New Roman" w:eastAsia="Times New Roman" w:hAnsi="Times New Roman" w:cs="Times New Roman"/>
          <w:bCs/>
          <w:sz w:val="24"/>
          <w:szCs w:val="24"/>
        </w:rPr>
        <w:t xml:space="preserve">contínua de </w:t>
      </w:r>
      <w:r>
        <w:rPr>
          <w:rFonts w:ascii="Times New Roman" w:eastAsia="Times New Roman" w:hAnsi="Times New Roman" w:cs="Times New Roman"/>
          <w:bCs/>
          <w:sz w:val="24"/>
          <w:szCs w:val="24"/>
        </w:rPr>
        <w:t xml:space="preserve">madeireiros </w:t>
      </w:r>
      <w:r w:rsidR="008F7721">
        <w:rPr>
          <w:rFonts w:ascii="Times New Roman" w:eastAsia="Times New Roman" w:hAnsi="Times New Roman" w:cs="Times New Roman"/>
          <w:bCs/>
          <w:sz w:val="24"/>
          <w:szCs w:val="24"/>
        </w:rPr>
        <w:t xml:space="preserve">ilegais </w:t>
      </w:r>
      <w:r w:rsidR="001A7D84">
        <w:rPr>
          <w:rFonts w:ascii="Times New Roman" w:eastAsia="Times New Roman" w:hAnsi="Times New Roman" w:cs="Times New Roman"/>
          <w:bCs/>
          <w:sz w:val="24"/>
          <w:szCs w:val="24"/>
        </w:rPr>
        <w:t xml:space="preserve">que transitam nas terras </w:t>
      </w:r>
      <w:r w:rsidR="008F7721">
        <w:rPr>
          <w:rFonts w:ascii="Times New Roman" w:eastAsia="Times New Roman" w:hAnsi="Times New Roman" w:cs="Times New Roman"/>
          <w:bCs/>
          <w:sz w:val="24"/>
          <w:szCs w:val="24"/>
        </w:rPr>
        <w:t>indígena</w:t>
      </w:r>
      <w:r w:rsidR="001A7D84">
        <w:rPr>
          <w:rFonts w:ascii="Times New Roman" w:eastAsia="Times New Roman" w:hAnsi="Times New Roman" w:cs="Times New Roman"/>
          <w:bCs/>
          <w:sz w:val="24"/>
          <w:szCs w:val="24"/>
        </w:rPr>
        <w:t>s</w:t>
      </w:r>
      <w:r w:rsidR="008F7721">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Infelizmente as medidas que estão sendo ultimadas pelo Estado brasileiro para conter </w:t>
      </w:r>
      <w:r w:rsidR="008F7721">
        <w:rPr>
          <w:rFonts w:ascii="Times New Roman" w:eastAsia="Times New Roman" w:hAnsi="Times New Roman" w:cs="Times New Roman"/>
          <w:bCs/>
          <w:sz w:val="24"/>
          <w:szCs w:val="24"/>
        </w:rPr>
        <w:t>esta</w:t>
      </w:r>
      <w:r w:rsidR="001A7D84">
        <w:rPr>
          <w:rFonts w:ascii="Times New Roman" w:eastAsia="Times New Roman" w:hAnsi="Times New Roman" w:cs="Times New Roman"/>
          <w:bCs/>
          <w:sz w:val="24"/>
          <w:szCs w:val="24"/>
        </w:rPr>
        <w:t>s</w:t>
      </w:r>
      <w:r w:rsidR="008F7721">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invas</w:t>
      </w:r>
      <w:r w:rsidR="001A7D84">
        <w:rPr>
          <w:rFonts w:ascii="Times New Roman" w:eastAsia="Times New Roman" w:hAnsi="Times New Roman" w:cs="Times New Roman"/>
          <w:bCs/>
          <w:sz w:val="24"/>
          <w:szCs w:val="24"/>
        </w:rPr>
        <w:t xml:space="preserve">ões </w:t>
      </w:r>
      <w:r>
        <w:rPr>
          <w:rFonts w:ascii="Times New Roman" w:eastAsia="Times New Roman" w:hAnsi="Times New Roman" w:cs="Times New Roman"/>
          <w:bCs/>
          <w:sz w:val="24"/>
          <w:szCs w:val="24"/>
        </w:rPr>
        <w:t xml:space="preserve">são insuficientes. </w:t>
      </w:r>
    </w:p>
    <w:p w14:paraId="36519144" w14:textId="6B386127" w:rsidR="00317CD7" w:rsidRPr="00DC71F1" w:rsidRDefault="00317CD7" w:rsidP="00DC71F1">
      <w:pPr>
        <w:spacing w:line="360" w:lineRule="auto"/>
        <w:ind w:firstLine="851"/>
        <w:jc w:val="both"/>
        <w:rPr>
          <w:rFonts w:ascii="Times New Roman" w:eastAsia="Times New Roman" w:hAnsi="Times New Roman" w:cs="Times New Roman"/>
          <w:bCs/>
          <w:sz w:val="24"/>
          <w:szCs w:val="24"/>
        </w:rPr>
      </w:pPr>
      <w:r w:rsidRPr="00317CD7">
        <w:rPr>
          <w:rFonts w:ascii="Times New Roman" w:eastAsia="Times New Roman" w:hAnsi="Times New Roman" w:cs="Times New Roman"/>
          <w:bCs/>
          <w:sz w:val="24"/>
          <w:szCs w:val="24"/>
        </w:rPr>
        <w:t>O quadro fático a</w:t>
      </w:r>
      <w:r>
        <w:rPr>
          <w:rFonts w:ascii="Times New Roman" w:eastAsia="Times New Roman" w:hAnsi="Times New Roman" w:cs="Times New Roman"/>
          <w:bCs/>
          <w:sz w:val="24"/>
          <w:szCs w:val="24"/>
        </w:rPr>
        <w:t>presentado nest</w:t>
      </w:r>
      <w:r w:rsidR="001A7D84">
        <w:rPr>
          <w:rFonts w:ascii="Times New Roman" w:eastAsia="Times New Roman" w:hAnsi="Times New Roman" w:cs="Times New Roman"/>
          <w:bCs/>
          <w:sz w:val="24"/>
          <w:szCs w:val="24"/>
        </w:rPr>
        <w:t xml:space="preserve">e relatório </w:t>
      </w:r>
      <w:r>
        <w:rPr>
          <w:rFonts w:ascii="Times New Roman" w:eastAsia="Times New Roman" w:hAnsi="Times New Roman" w:cs="Times New Roman"/>
          <w:bCs/>
          <w:sz w:val="24"/>
          <w:szCs w:val="24"/>
        </w:rPr>
        <w:t>técnic</w:t>
      </w:r>
      <w:r w:rsidR="001A7D84">
        <w:rPr>
          <w:rFonts w:ascii="Times New Roman" w:eastAsia="Times New Roman" w:hAnsi="Times New Roman" w:cs="Times New Roman"/>
          <w:bCs/>
          <w:sz w:val="24"/>
          <w:szCs w:val="24"/>
        </w:rPr>
        <w:t>o</w:t>
      </w:r>
      <w:r w:rsidRPr="00317CD7">
        <w:rPr>
          <w:rFonts w:ascii="Times New Roman" w:eastAsia="Times New Roman" w:hAnsi="Times New Roman" w:cs="Times New Roman"/>
          <w:bCs/>
          <w:sz w:val="24"/>
          <w:szCs w:val="24"/>
        </w:rPr>
        <w:t xml:space="preserve"> comprova que invasores continuam invadindo e desmatando ilegalmente a</w:t>
      </w:r>
      <w:r w:rsidR="001A7D84">
        <w:rPr>
          <w:rFonts w:ascii="Times New Roman" w:eastAsia="Times New Roman" w:hAnsi="Times New Roman" w:cs="Times New Roman"/>
          <w:bCs/>
          <w:sz w:val="24"/>
          <w:szCs w:val="24"/>
        </w:rPr>
        <w:t xml:space="preserve">s </w:t>
      </w:r>
      <w:r w:rsidR="001A7D84">
        <w:rPr>
          <w:rFonts w:ascii="Times New Roman" w:eastAsia="Times New Roman" w:hAnsi="Times New Roman" w:cs="Times New Roman"/>
          <w:sz w:val="24"/>
          <w:szCs w:val="24"/>
        </w:rPr>
        <w:t>Terras Indígenas Jacareúba-Katawixi e Pirititi</w:t>
      </w:r>
      <w:r w:rsidR="001A7D84">
        <w:rPr>
          <w:rFonts w:ascii="Times New Roman" w:eastAsia="Times New Roman" w:hAnsi="Times New Roman" w:cs="Times New Roman"/>
          <w:sz w:val="24"/>
          <w:szCs w:val="24"/>
        </w:rPr>
        <w:t xml:space="preserve"> e as áreas de entorno</w:t>
      </w:r>
      <w:r>
        <w:rPr>
          <w:rFonts w:ascii="Times New Roman" w:eastAsia="Times New Roman" w:hAnsi="Times New Roman" w:cs="Times New Roman"/>
          <w:bCs/>
          <w:sz w:val="24"/>
          <w:szCs w:val="24"/>
        </w:rPr>
        <w:t>, em um descaso com as regulamentações legais que protegem este</w:t>
      </w:r>
      <w:r w:rsidR="001A7D84">
        <w:rPr>
          <w:rFonts w:ascii="Times New Roman" w:eastAsia="Times New Roman" w:hAnsi="Times New Roman" w:cs="Times New Roman"/>
          <w:bCs/>
          <w:sz w:val="24"/>
          <w:szCs w:val="24"/>
        </w:rPr>
        <w:t>s</w:t>
      </w:r>
      <w:r>
        <w:rPr>
          <w:rFonts w:ascii="Times New Roman" w:eastAsia="Times New Roman" w:hAnsi="Times New Roman" w:cs="Times New Roman"/>
          <w:bCs/>
          <w:sz w:val="24"/>
          <w:szCs w:val="24"/>
        </w:rPr>
        <w:t xml:space="preserve"> território</w:t>
      </w:r>
      <w:r w:rsidR="001A7D84">
        <w:rPr>
          <w:rFonts w:ascii="Times New Roman" w:eastAsia="Times New Roman" w:hAnsi="Times New Roman" w:cs="Times New Roman"/>
          <w:bCs/>
          <w:sz w:val="24"/>
          <w:szCs w:val="24"/>
        </w:rPr>
        <w:t>s</w:t>
      </w:r>
      <w:r>
        <w:rPr>
          <w:rFonts w:ascii="Times New Roman" w:eastAsia="Times New Roman" w:hAnsi="Times New Roman" w:cs="Times New Roman"/>
          <w:bCs/>
          <w:sz w:val="24"/>
          <w:szCs w:val="24"/>
        </w:rPr>
        <w:t>.</w:t>
      </w:r>
      <w:r w:rsidRPr="00317CD7">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Desse modo, a retirada destes invasores </w:t>
      </w:r>
      <w:r w:rsidR="001A7D84">
        <w:rPr>
          <w:rFonts w:ascii="Times New Roman" w:eastAsia="Times New Roman" w:hAnsi="Times New Roman" w:cs="Times New Roman"/>
          <w:bCs/>
          <w:sz w:val="24"/>
          <w:szCs w:val="24"/>
        </w:rPr>
        <w:t xml:space="preserve">e operações de fiscalização frequentes </w:t>
      </w:r>
      <w:r>
        <w:rPr>
          <w:rFonts w:ascii="Times New Roman" w:eastAsia="Times New Roman" w:hAnsi="Times New Roman" w:cs="Times New Roman"/>
          <w:bCs/>
          <w:sz w:val="24"/>
          <w:szCs w:val="24"/>
        </w:rPr>
        <w:t>continua</w:t>
      </w:r>
      <w:r w:rsidR="001A7D84">
        <w:rPr>
          <w:rFonts w:ascii="Times New Roman" w:eastAsia="Times New Roman" w:hAnsi="Times New Roman" w:cs="Times New Roman"/>
          <w:bCs/>
          <w:sz w:val="24"/>
          <w:szCs w:val="24"/>
        </w:rPr>
        <w:t>m</w:t>
      </w:r>
      <w:r>
        <w:rPr>
          <w:rFonts w:ascii="Times New Roman" w:eastAsia="Times New Roman" w:hAnsi="Times New Roman" w:cs="Times New Roman"/>
          <w:bCs/>
          <w:sz w:val="24"/>
          <w:szCs w:val="24"/>
        </w:rPr>
        <w:t xml:space="preserve"> sendo medida necessária para proteger este</w:t>
      </w:r>
      <w:r w:rsidR="001A7D84">
        <w:rPr>
          <w:rFonts w:ascii="Times New Roman" w:eastAsia="Times New Roman" w:hAnsi="Times New Roman" w:cs="Times New Roman"/>
          <w:bCs/>
          <w:sz w:val="24"/>
          <w:szCs w:val="24"/>
        </w:rPr>
        <w:t>s</w:t>
      </w:r>
      <w:r>
        <w:rPr>
          <w:rFonts w:ascii="Times New Roman" w:eastAsia="Times New Roman" w:hAnsi="Times New Roman" w:cs="Times New Roman"/>
          <w:bCs/>
          <w:sz w:val="24"/>
          <w:szCs w:val="24"/>
        </w:rPr>
        <w:t xml:space="preserve"> grupo</w:t>
      </w:r>
      <w:r w:rsidR="001A7D84">
        <w:rPr>
          <w:rFonts w:ascii="Times New Roman" w:eastAsia="Times New Roman" w:hAnsi="Times New Roman" w:cs="Times New Roman"/>
          <w:bCs/>
          <w:sz w:val="24"/>
          <w:szCs w:val="24"/>
        </w:rPr>
        <w:t>s</w:t>
      </w:r>
      <w:r>
        <w:rPr>
          <w:rFonts w:ascii="Times New Roman" w:eastAsia="Times New Roman" w:hAnsi="Times New Roman" w:cs="Times New Roman"/>
          <w:bCs/>
          <w:sz w:val="24"/>
          <w:szCs w:val="24"/>
        </w:rPr>
        <w:t xml:space="preserve"> em isolamento voluntário.</w:t>
      </w:r>
    </w:p>
    <w:p w14:paraId="52F2591D" w14:textId="77777777" w:rsidR="00317CD7" w:rsidRDefault="00317CD7">
      <w:pPr>
        <w:spacing w:line="360" w:lineRule="auto"/>
        <w:ind w:firstLine="1134"/>
        <w:jc w:val="both"/>
      </w:pPr>
    </w:p>
    <w:p w14:paraId="352C0C3F" w14:textId="3656A9C7" w:rsidR="00317CD7" w:rsidRDefault="00D05202" w:rsidP="00317CD7">
      <w:pPr>
        <w:spacing w:line="360" w:lineRule="auto"/>
        <w:rPr>
          <w:rFonts w:ascii="Times New Roman" w:hAnsi="Times New Roman" w:cs="Times New Roman"/>
          <w:b/>
          <w:bCs/>
          <w:smallCaps/>
          <w:kern w:val="2"/>
          <w:sz w:val="24"/>
          <w:szCs w:val="24"/>
        </w:rPr>
      </w:pPr>
      <w:r>
        <w:rPr>
          <w:rFonts w:ascii="Times New Roman" w:hAnsi="Times New Roman" w:cs="Times New Roman"/>
          <w:b/>
          <w:bCs/>
          <w:smallCaps/>
          <w:kern w:val="2"/>
          <w:sz w:val="24"/>
          <w:szCs w:val="24"/>
        </w:rPr>
        <w:t xml:space="preserve">2. </w:t>
      </w:r>
      <w:r w:rsidR="00F93218">
        <w:rPr>
          <w:rFonts w:ascii="Times New Roman" w:hAnsi="Times New Roman" w:cs="Times New Roman"/>
          <w:b/>
          <w:bCs/>
          <w:smallCaps/>
          <w:kern w:val="2"/>
          <w:sz w:val="24"/>
          <w:szCs w:val="24"/>
        </w:rPr>
        <w:t xml:space="preserve">A </w:t>
      </w:r>
      <w:r w:rsidR="00296CF6">
        <w:rPr>
          <w:rFonts w:ascii="Times New Roman" w:hAnsi="Times New Roman" w:cs="Times New Roman"/>
          <w:b/>
          <w:bCs/>
          <w:smallCaps/>
          <w:kern w:val="2"/>
          <w:sz w:val="24"/>
          <w:szCs w:val="24"/>
        </w:rPr>
        <w:t>Proteção dos Povos Indígenas Isolados</w:t>
      </w:r>
    </w:p>
    <w:p w14:paraId="3FC7B416" w14:textId="69FE01DB" w:rsidR="00DC71F1" w:rsidRDefault="00DC71F1" w:rsidP="00DC71F1">
      <w:pPr>
        <w:spacing w:line="360" w:lineRule="auto"/>
        <w:jc w:val="both"/>
        <w:rPr>
          <w:rFonts w:ascii="Times New Roman" w:hAnsi="Times New Roman" w:cs="Times New Roman"/>
          <w:color w:val="000000"/>
          <w:sz w:val="23"/>
          <w:szCs w:val="23"/>
        </w:rPr>
      </w:pPr>
    </w:p>
    <w:p w14:paraId="43EFD84F" w14:textId="06EB1A8E" w:rsidR="00296CF6" w:rsidRDefault="00296CF6" w:rsidP="00296CF6">
      <w:pPr>
        <w:spacing w:line="360" w:lineRule="auto"/>
        <w:ind w:firstLine="851"/>
        <w:jc w:val="both"/>
        <w:rPr>
          <w:rFonts w:ascii="Times New Roman" w:hAnsi="Times New Roman" w:cs="Times New Roman"/>
          <w:sz w:val="24"/>
          <w:szCs w:val="24"/>
        </w:rPr>
      </w:pPr>
      <w:r w:rsidRPr="00317CD7">
        <w:rPr>
          <w:rFonts w:ascii="Times New Roman" w:hAnsi="Times New Roman" w:cs="Times New Roman"/>
          <w:sz w:val="24"/>
          <w:szCs w:val="24"/>
        </w:rPr>
        <w:t xml:space="preserve">O artigo 22, do Decreto n.º 9.010/2017 </w:t>
      </w:r>
      <w:r>
        <w:rPr>
          <w:rFonts w:ascii="Times New Roman" w:hAnsi="Times New Roman" w:cs="Times New Roman"/>
          <w:sz w:val="24"/>
          <w:szCs w:val="24"/>
        </w:rPr>
        <w:t xml:space="preserve">estabelece </w:t>
      </w:r>
      <w:r w:rsidRPr="00317CD7">
        <w:rPr>
          <w:rFonts w:ascii="Times New Roman" w:hAnsi="Times New Roman" w:cs="Times New Roman"/>
          <w:sz w:val="24"/>
          <w:szCs w:val="24"/>
        </w:rPr>
        <w:t>as atribuições das Coordenações das Frentes de Proteção Etnoambiental, dentre elas a de “proteger os povos indígenas isolados” (artigo 22, I) e “promover o levantamento de informações relativas à presença e à localização de índios isolados” (artigo 22, II). Já o artigo 23, II, determina que às Coordenações Técnicas Locais compete “implementar ações para a localização, o monitoramento, a vigilância, a proteção e a promoção dos direitos de índios isolados ou de recente contato, em sua área de atuação, nos casos específicos de subordinação da Coordenação Técnica Local à Frente de Proteção Etnoambiental, na forma definida em ato do Presidente da</w:t>
      </w:r>
      <w:r w:rsidR="00A52962">
        <w:rPr>
          <w:rFonts w:ascii="Times New Roman" w:hAnsi="Times New Roman" w:cs="Times New Roman"/>
          <w:sz w:val="24"/>
          <w:szCs w:val="24"/>
        </w:rPr>
        <w:t xml:space="preserve"> </w:t>
      </w:r>
      <w:r w:rsidR="00A52962" w:rsidRPr="00317CD7">
        <w:rPr>
          <w:rFonts w:ascii="Times New Roman" w:hAnsi="Times New Roman" w:cs="Times New Roman"/>
          <w:color w:val="000000"/>
          <w:sz w:val="24"/>
          <w:szCs w:val="24"/>
        </w:rPr>
        <w:t>Fundação Nacional do Índio</w:t>
      </w:r>
      <w:r w:rsidRPr="00317CD7">
        <w:rPr>
          <w:rFonts w:ascii="Times New Roman" w:hAnsi="Times New Roman" w:cs="Times New Roman"/>
          <w:sz w:val="24"/>
          <w:szCs w:val="24"/>
        </w:rPr>
        <w:t>”.</w:t>
      </w:r>
    </w:p>
    <w:p w14:paraId="3D17644E" w14:textId="0D77DB7B" w:rsidR="00296CF6" w:rsidRPr="00317CD7" w:rsidRDefault="00296CF6" w:rsidP="00296CF6">
      <w:pPr>
        <w:spacing w:line="360" w:lineRule="auto"/>
        <w:ind w:firstLine="851"/>
        <w:jc w:val="both"/>
        <w:rPr>
          <w:rFonts w:ascii="Times New Roman" w:hAnsi="Times New Roman" w:cs="Times New Roman"/>
          <w:color w:val="000000"/>
          <w:sz w:val="24"/>
          <w:szCs w:val="24"/>
        </w:rPr>
      </w:pPr>
      <w:r w:rsidRPr="00317CD7">
        <w:rPr>
          <w:rFonts w:ascii="Times New Roman" w:hAnsi="Times New Roman" w:cs="Times New Roman"/>
          <w:color w:val="000000"/>
          <w:sz w:val="24"/>
          <w:szCs w:val="24"/>
        </w:rPr>
        <w:t xml:space="preserve">O Revogado Decreto n.º 7.778/2012 e o Decreto n.º 9.010/2017, que o substituiu, também trazem previsões sobre os direitos dos povos que vivem em isolamento voluntário. Define, por exemplo, que a </w:t>
      </w:r>
      <w:r w:rsidR="00A52962" w:rsidRPr="00317CD7">
        <w:rPr>
          <w:rFonts w:ascii="Times New Roman" w:hAnsi="Times New Roman" w:cs="Times New Roman"/>
          <w:color w:val="000000"/>
          <w:sz w:val="24"/>
          <w:szCs w:val="24"/>
        </w:rPr>
        <w:t xml:space="preserve">Fundação Nacional do Índio </w:t>
      </w:r>
      <w:r w:rsidR="00A52962">
        <w:rPr>
          <w:rFonts w:ascii="Times New Roman" w:hAnsi="Times New Roman" w:cs="Times New Roman"/>
          <w:color w:val="000000"/>
          <w:sz w:val="24"/>
          <w:szCs w:val="24"/>
        </w:rPr>
        <w:t>(</w:t>
      </w:r>
      <w:r w:rsidRPr="00317CD7">
        <w:rPr>
          <w:rFonts w:ascii="Times New Roman" w:hAnsi="Times New Roman" w:cs="Times New Roman"/>
          <w:color w:val="000000"/>
          <w:sz w:val="24"/>
          <w:szCs w:val="24"/>
        </w:rPr>
        <w:t>Funai</w:t>
      </w:r>
      <w:r w:rsidR="00A52962">
        <w:rPr>
          <w:rFonts w:ascii="Times New Roman" w:hAnsi="Times New Roman" w:cs="Times New Roman"/>
          <w:color w:val="000000"/>
          <w:sz w:val="24"/>
          <w:szCs w:val="24"/>
        </w:rPr>
        <w:t>)</w:t>
      </w:r>
      <w:r w:rsidRPr="00317CD7">
        <w:rPr>
          <w:rFonts w:ascii="Times New Roman" w:hAnsi="Times New Roman" w:cs="Times New Roman"/>
          <w:color w:val="000000"/>
          <w:sz w:val="24"/>
          <w:szCs w:val="24"/>
        </w:rPr>
        <w:t xml:space="preserve"> deve garantir aos povos indígenas isolados o exercício de sua liberdade e de suas atividades tradicionais sem a obrigatoriedade de contatá-los (artigo 2º, d).</w:t>
      </w:r>
    </w:p>
    <w:p w14:paraId="456FE8E4" w14:textId="77777777" w:rsidR="00296CF6" w:rsidRPr="00317CD7" w:rsidRDefault="00296CF6" w:rsidP="00296CF6">
      <w:pPr>
        <w:suppressAutoHyphens w:val="0"/>
        <w:overflowPunct/>
        <w:autoSpaceDE w:val="0"/>
        <w:autoSpaceDN w:val="0"/>
        <w:adjustRightInd w:val="0"/>
        <w:spacing w:line="360" w:lineRule="auto"/>
        <w:ind w:firstLine="851"/>
        <w:jc w:val="both"/>
        <w:rPr>
          <w:rFonts w:ascii="Times New Roman" w:hAnsi="Times New Roman" w:cs="Times New Roman"/>
          <w:color w:val="000000"/>
          <w:sz w:val="24"/>
          <w:szCs w:val="24"/>
        </w:rPr>
      </w:pPr>
      <w:r w:rsidRPr="00317CD7">
        <w:rPr>
          <w:rFonts w:ascii="Times New Roman" w:hAnsi="Times New Roman" w:cs="Times New Roman"/>
          <w:color w:val="000000"/>
          <w:sz w:val="24"/>
          <w:szCs w:val="24"/>
        </w:rPr>
        <w:t xml:space="preserve">O citado Decreto atribui competência à Diretoria de Promoção ao Desenvolvimento Sustentável para: “monitorar as ações de saúde das comunidades indígenas e de isolamento voluntário desenvolvidas pelo Ministério da Saúde” (artigo 19, V). Por seu turno, a Portaria n.º 281/PRES/FUNAI, de 20 de abril de 2000, proíbe, no interior das áreas habitada por indígenas isolados, toda e qualquer atividade econômica e/ou comercial. </w:t>
      </w:r>
    </w:p>
    <w:p w14:paraId="71464386" w14:textId="0F119D77" w:rsidR="00296CF6" w:rsidRDefault="00296CF6" w:rsidP="00296CF6">
      <w:pPr>
        <w:pStyle w:val="Default"/>
        <w:spacing w:line="360" w:lineRule="auto"/>
        <w:ind w:firstLine="851"/>
        <w:jc w:val="both"/>
        <w:rPr>
          <w:rFonts w:ascii="Times New Roman" w:hAnsi="Times New Roman" w:cs="Times New Roman"/>
        </w:rPr>
      </w:pPr>
      <w:r w:rsidRPr="00317CD7">
        <w:rPr>
          <w:rFonts w:ascii="Times New Roman" w:hAnsi="Times New Roman" w:cs="Times New Roman"/>
        </w:rPr>
        <w:t xml:space="preserve">As </w:t>
      </w:r>
      <w:r w:rsidRPr="00317CD7">
        <w:rPr>
          <w:rFonts w:ascii="Times New Roman" w:hAnsi="Times New Roman" w:cs="Times New Roman"/>
          <w:i/>
          <w:iCs/>
        </w:rPr>
        <w:t xml:space="preserve">Portarias de Restrição de Uso </w:t>
      </w:r>
      <w:r w:rsidRPr="00317CD7">
        <w:rPr>
          <w:rFonts w:ascii="Times New Roman" w:hAnsi="Times New Roman" w:cs="Times New Roman"/>
        </w:rPr>
        <w:t>se fundamentam</w:t>
      </w:r>
      <w:r>
        <w:rPr>
          <w:rFonts w:ascii="Times New Roman" w:hAnsi="Times New Roman" w:cs="Times New Roman"/>
        </w:rPr>
        <w:t xml:space="preserve"> </w:t>
      </w:r>
      <w:r w:rsidRPr="00317CD7">
        <w:rPr>
          <w:rFonts w:ascii="Times New Roman" w:hAnsi="Times New Roman" w:cs="Times New Roman"/>
        </w:rPr>
        <w:t>no princípio da precaução</w:t>
      </w:r>
      <w:r>
        <w:rPr>
          <w:rFonts w:ascii="Times New Roman" w:hAnsi="Times New Roman" w:cs="Times New Roman"/>
        </w:rPr>
        <w:t xml:space="preserve"> e garantem a proteção do territórios e dos grupos isolados até a conclusão dos estudos de demarcação da terra indígena</w:t>
      </w:r>
      <w:r w:rsidRPr="00317CD7">
        <w:rPr>
          <w:rFonts w:ascii="Times New Roman" w:hAnsi="Times New Roman" w:cs="Times New Roman"/>
        </w:rPr>
        <w:t xml:space="preserve">. Contudo, não se confundem com o processo de identificação, delimitação, demarcação, homologação por Decreto da Presidência da República e registro em cartório e na Secretaria de Patrimônio da União (SPU), previstos no Decreto n.º 1775/1996, procedimento que garantiria maior segurança jurídica e proteção para a TI. As </w:t>
      </w:r>
      <w:r w:rsidRPr="00317CD7">
        <w:rPr>
          <w:rFonts w:ascii="Times New Roman" w:hAnsi="Times New Roman" w:cs="Times New Roman"/>
          <w:i/>
          <w:iCs/>
        </w:rPr>
        <w:t xml:space="preserve">Portarias de Restrição de Uso </w:t>
      </w:r>
      <w:r w:rsidRPr="00317CD7">
        <w:rPr>
          <w:rFonts w:ascii="Times New Roman" w:hAnsi="Times New Roman" w:cs="Times New Roman"/>
        </w:rPr>
        <w:t xml:space="preserve">são atos administrativos com prazo de validade determinado, editadas pela Presidência da Funai. Isso gera expectativa e especulações sobre a sua não renovação, o que </w:t>
      </w:r>
      <w:r>
        <w:rPr>
          <w:rFonts w:ascii="Times New Roman" w:hAnsi="Times New Roman" w:cs="Times New Roman"/>
        </w:rPr>
        <w:t xml:space="preserve">tem contribuído </w:t>
      </w:r>
      <w:r w:rsidRPr="00317CD7">
        <w:rPr>
          <w:rFonts w:ascii="Times New Roman" w:hAnsi="Times New Roman" w:cs="Times New Roman"/>
        </w:rPr>
        <w:t>para a explosão de invasões e desmatamentos n</w:t>
      </w:r>
      <w:r w:rsidR="00B2708C">
        <w:rPr>
          <w:rFonts w:ascii="Times New Roman" w:hAnsi="Times New Roman" w:cs="Times New Roman"/>
        </w:rPr>
        <w:t xml:space="preserve">estas terras indígenas </w:t>
      </w:r>
      <w:r>
        <w:rPr>
          <w:rFonts w:ascii="Times New Roman" w:hAnsi="Times New Roman" w:cs="Times New Roman"/>
        </w:rPr>
        <w:t>em períodos de término e renovação das Portarias</w:t>
      </w:r>
      <w:r w:rsidRPr="00317CD7">
        <w:rPr>
          <w:rFonts w:ascii="Times New Roman" w:hAnsi="Times New Roman" w:cs="Times New Roman"/>
        </w:rPr>
        <w:t xml:space="preserve">. </w:t>
      </w:r>
    </w:p>
    <w:p w14:paraId="5D95FFFE" w14:textId="2176DF62" w:rsidR="00B2708C" w:rsidRDefault="00296CF6" w:rsidP="00B2708C">
      <w:pPr>
        <w:suppressAutoHyphens w:val="0"/>
        <w:overflowPunct/>
        <w:autoSpaceDE w:val="0"/>
        <w:autoSpaceDN w:val="0"/>
        <w:adjustRightInd w:val="0"/>
        <w:spacing w:line="360" w:lineRule="auto"/>
        <w:ind w:firstLine="851"/>
        <w:jc w:val="both"/>
        <w:rPr>
          <w:rFonts w:ascii="Times New Roman" w:hAnsi="Times New Roman" w:cs="Times New Roman"/>
          <w:color w:val="000000"/>
          <w:sz w:val="24"/>
          <w:szCs w:val="24"/>
        </w:rPr>
      </w:pPr>
      <w:r w:rsidRPr="00317CD7">
        <w:rPr>
          <w:rFonts w:ascii="Times New Roman" w:hAnsi="Times New Roman" w:cs="Times New Roman"/>
          <w:color w:val="000000"/>
          <w:sz w:val="24"/>
          <w:szCs w:val="24"/>
        </w:rPr>
        <w:t xml:space="preserve">De se destacar que a não renovação da </w:t>
      </w:r>
      <w:r w:rsidRPr="00317CD7">
        <w:rPr>
          <w:rFonts w:ascii="Times New Roman" w:hAnsi="Times New Roman" w:cs="Times New Roman"/>
          <w:i/>
          <w:iCs/>
          <w:color w:val="000000"/>
          <w:sz w:val="24"/>
          <w:szCs w:val="24"/>
        </w:rPr>
        <w:t xml:space="preserve">Portarias de Restrição de Uso </w:t>
      </w:r>
      <w:r w:rsidRPr="00317CD7">
        <w:rPr>
          <w:rFonts w:ascii="Times New Roman" w:hAnsi="Times New Roman" w:cs="Times New Roman"/>
          <w:color w:val="000000"/>
          <w:sz w:val="24"/>
          <w:szCs w:val="24"/>
        </w:rPr>
        <w:t xml:space="preserve">não seria ato capaz de “desconstituir” a terra indígena, visto que, por elementar disposição constitucional, os direitos indígenas são originários e o processo administrativo de demarcação, meramente declaratório. Nessa vereda, tanto o artigo 25 da Lei n.º 6.001/1973 (Estatuto do Índio), quanto a jurisprudência pacífica do Supremo Tribunal Federal8 (STF), marcam que os direitos territoriais dos indígenas independem de demarcação. Demais disso, a Constituição grava as terras indígenas como “inalienáveis, indisponíveis e imprescritíveis” (artigo 231, § 4º). E, ainda, assevera que são nulos e extintos, não produzindo efeitos jurídicos, os atos que tenham por objeto a ocupação, o domínio e a posse das terras indígenas, ou a exploração das riquezas naturais do solo, dos rios e dos lagos nelas existentes (artigo 231, §6º, </w:t>
      </w:r>
      <w:r w:rsidRPr="00317CD7">
        <w:rPr>
          <w:rFonts w:ascii="Times New Roman" w:hAnsi="Times New Roman" w:cs="Times New Roman"/>
          <w:i/>
          <w:iCs/>
          <w:color w:val="000000"/>
          <w:sz w:val="24"/>
          <w:szCs w:val="24"/>
        </w:rPr>
        <w:t>primeira parte</w:t>
      </w:r>
      <w:r w:rsidRPr="00317CD7">
        <w:rPr>
          <w:rFonts w:ascii="Times New Roman" w:hAnsi="Times New Roman" w:cs="Times New Roman"/>
          <w:color w:val="000000"/>
          <w:sz w:val="24"/>
          <w:szCs w:val="24"/>
        </w:rPr>
        <w:t xml:space="preserve">). </w:t>
      </w:r>
    </w:p>
    <w:p w14:paraId="493D6751" w14:textId="530FB853" w:rsidR="00B2708C" w:rsidRDefault="00296CF6" w:rsidP="00B2708C">
      <w:pPr>
        <w:suppressAutoHyphens w:val="0"/>
        <w:overflowPunct/>
        <w:autoSpaceDE w:val="0"/>
        <w:autoSpaceDN w:val="0"/>
        <w:adjustRightInd w:val="0"/>
        <w:spacing w:line="360" w:lineRule="auto"/>
        <w:ind w:firstLine="851"/>
        <w:jc w:val="both"/>
        <w:rPr>
          <w:rFonts w:ascii="Times New Roman" w:hAnsi="Times New Roman" w:cs="Times New Roman"/>
          <w:color w:val="000000"/>
          <w:sz w:val="24"/>
          <w:szCs w:val="24"/>
        </w:rPr>
      </w:pPr>
      <w:r w:rsidRPr="00296CF6">
        <w:rPr>
          <w:rFonts w:ascii="Times New Roman" w:eastAsia="Times New Roman" w:hAnsi="Times New Roman" w:cs="Times New Roman"/>
          <w:color w:val="000000"/>
          <w:sz w:val="24"/>
          <w:szCs w:val="24"/>
        </w:rPr>
        <w:t>E</w:t>
      </w:r>
      <w:r w:rsidR="00B2708C">
        <w:rPr>
          <w:rFonts w:ascii="Times New Roman" w:eastAsia="Times New Roman" w:hAnsi="Times New Roman" w:cs="Times New Roman"/>
          <w:color w:val="000000"/>
          <w:sz w:val="24"/>
          <w:szCs w:val="24"/>
        </w:rPr>
        <w:t xml:space="preserve">m dezembro </w:t>
      </w:r>
      <w:r w:rsidRPr="00296CF6">
        <w:rPr>
          <w:rFonts w:ascii="Times New Roman" w:eastAsia="Times New Roman" w:hAnsi="Times New Roman" w:cs="Times New Roman"/>
          <w:color w:val="000000"/>
          <w:sz w:val="24"/>
          <w:szCs w:val="24"/>
        </w:rPr>
        <w:t>de 2021</w:t>
      </w:r>
      <w:r w:rsidR="00B2708C">
        <w:rPr>
          <w:rFonts w:ascii="Times New Roman" w:eastAsia="Times New Roman" w:hAnsi="Times New Roman" w:cs="Times New Roman"/>
          <w:color w:val="000000"/>
          <w:sz w:val="24"/>
          <w:szCs w:val="24"/>
        </w:rPr>
        <w:t xml:space="preserve">, duas </w:t>
      </w:r>
      <w:r w:rsidRPr="00296CF6">
        <w:rPr>
          <w:rFonts w:ascii="Times New Roman" w:eastAsia="Times New Roman" w:hAnsi="Times New Roman" w:cs="Times New Roman"/>
          <w:color w:val="000000"/>
          <w:sz w:val="24"/>
          <w:szCs w:val="24"/>
        </w:rPr>
        <w:t xml:space="preserve">Terras Indígenas com presença de povos isolados, </w:t>
      </w:r>
      <w:r w:rsidR="00B2708C" w:rsidRPr="00296CF6">
        <w:rPr>
          <w:rFonts w:ascii="Times New Roman" w:eastAsia="Times New Roman" w:hAnsi="Times New Roman" w:cs="Times New Roman"/>
          <w:color w:val="000000"/>
          <w:sz w:val="24"/>
          <w:szCs w:val="24"/>
        </w:rPr>
        <w:t>Jacareúba</w:t>
      </w:r>
      <w:r w:rsidR="002661A4">
        <w:rPr>
          <w:rFonts w:ascii="Times New Roman" w:eastAsia="Times New Roman" w:hAnsi="Times New Roman" w:cs="Times New Roman"/>
          <w:color w:val="000000"/>
          <w:sz w:val="24"/>
          <w:szCs w:val="24"/>
        </w:rPr>
        <w:t>-</w:t>
      </w:r>
      <w:r w:rsidR="00B2708C" w:rsidRPr="00296CF6">
        <w:rPr>
          <w:rFonts w:ascii="Times New Roman" w:eastAsia="Times New Roman" w:hAnsi="Times New Roman" w:cs="Times New Roman"/>
          <w:color w:val="000000"/>
          <w:sz w:val="24"/>
          <w:szCs w:val="24"/>
        </w:rPr>
        <w:t xml:space="preserve">Katawixi (AM) </w:t>
      </w:r>
      <w:r w:rsidR="00B2708C" w:rsidRPr="002661A4">
        <w:rPr>
          <w:rFonts w:ascii="Times New Roman" w:eastAsia="Times New Roman" w:hAnsi="Times New Roman" w:cs="Times New Roman"/>
          <w:color w:val="000000"/>
          <w:sz w:val="24"/>
          <w:szCs w:val="24"/>
        </w:rPr>
        <w:t xml:space="preserve">e </w:t>
      </w:r>
      <w:r w:rsidRPr="00296CF6">
        <w:rPr>
          <w:rFonts w:ascii="Times New Roman" w:eastAsia="Times New Roman" w:hAnsi="Times New Roman" w:cs="Times New Roman"/>
          <w:color w:val="000000"/>
          <w:sz w:val="24"/>
          <w:szCs w:val="24"/>
        </w:rPr>
        <w:t>Pirititi (RR)</w:t>
      </w:r>
      <w:r w:rsidR="00B2708C">
        <w:rPr>
          <w:rFonts w:ascii="Times New Roman" w:eastAsia="Times New Roman" w:hAnsi="Times New Roman" w:cs="Times New Roman"/>
          <w:b/>
          <w:bCs/>
          <w:color w:val="000000"/>
          <w:sz w:val="24"/>
          <w:szCs w:val="24"/>
        </w:rPr>
        <w:t xml:space="preserve"> </w:t>
      </w:r>
      <w:r w:rsidRPr="00296CF6">
        <w:rPr>
          <w:rFonts w:ascii="Times New Roman" w:eastAsia="Times New Roman" w:hAnsi="Times New Roman" w:cs="Times New Roman"/>
          <w:color w:val="000000"/>
          <w:sz w:val="24"/>
          <w:szCs w:val="24"/>
        </w:rPr>
        <w:t>terão suas Portarias de Restrição de Uso vencidas. Essas portarias estabelecem a proteção de povos indígenas e seus territórios durante a sua duração, e deveriam ser acompanhados do processo de proteção, de fiscalização, do estudo de confirmação da presença de povos isolados e da demarcação dessas terras indígenas, processo que não entra na agenda do atual governo. </w:t>
      </w:r>
    </w:p>
    <w:p w14:paraId="7867D47B" w14:textId="77777777" w:rsidR="00186734" w:rsidRDefault="00296CF6" w:rsidP="00186734">
      <w:pPr>
        <w:suppressAutoHyphens w:val="0"/>
        <w:overflowPunct/>
        <w:autoSpaceDE w:val="0"/>
        <w:autoSpaceDN w:val="0"/>
        <w:adjustRightInd w:val="0"/>
        <w:spacing w:line="360" w:lineRule="auto"/>
        <w:ind w:firstLine="851"/>
        <w:jc w:val="both"/>
        <w:rPr>
          <w:rFonts w:ascii="Times New Roman" w:hAnsi="Times New Roman" w:cs="Times New Roman"/>
          <w:color w:val="000000"/>
          <w:sz w:val="24"/>
          <w:szCs w:val="24"/>
        </w:rPr>
      </w:pPr>
      <w:r w:rsidRPr="00296CF6">
        <w:rPr>
          <w:rFonts w:ascii="Times New Roman" w:eastAsia="Times New Roman" w:hAnsi="Times New Roman" w:cs="Times New Roman"/>
          <w:color w:val="000000"/>
          <w:sz w:val="24"/>
          <w:szCs w:val="24"/>
        </w:rPr>
        <w:t>A escalada da pandemia em todo o Brasil e o desmatamento nas Terras Indígenas, exige</w:t>
      </w:r>
      <w:r w:rsidR="00B2708C">
        <w:rPr>
          <w:rFonts w:ascii="Times New Roman" w:eastAsia="Times New Roman" w:hAnsi="Times New Roman" w:cs="Times New Roman"/>
          <w:color w:val="000000"/>
          <w:sz w:val="24"/>
          <w:szCs w:val="24"/>
        </w:rPr>
        <w:t>m</w:t>
      </w:r>
      <w:r w:rsidRPr="00296CF6">
        <w:rPr>
          <w:rFonts w:ascii="Times New Roman" w:eastAsia="Times New Roman" w:hAnsi="Times New Roman" w:cs="Times New Roman"/>
          <w:color w:val="000000"/>
          <w:sz w:val="24"/>
          <w:szCs w:val="24"/>
        </w:rPr>
        <w:t xml:space="preserve"> resposta</w:t>
      </w:r>
      <w:r w:rsidR="00B2708C">
        <w:rPr>
          <w:rFonts w:ascii="Times New Roman" w:eastAsia="Times New Roman" w:hAnsi="Times New Roman" w:cs="Times New Roman"/>
          <w:color w:val="000000"/>
          <w:sz w:val="24"/>
          <w:szCs w:val="24"/>
        </w:rPr>
        <w:t>s</w:t>
      </w:r>
      <w:r w:rsidRPr="00296CF6">
        <w:rPr>
          <w:rFonts w:ascii="Times New Roman" w:eastAsia="Times New Roman" w:hAnsi="Times New Roman" w:cs="Times New Roman"/>
          <w:color w:val="000000"/>
          <w:sz w:val="24"/>
          <w:szCs w:val="24"/>
        </w:rPr>
        <w:t xml:space="preserve"> rápida</w:t>
      </w:r>
      <w:r w:rsidR="00B2708C">
        <w:rPr>
          <w:rFonts w:ascii="Times New Roman" w:eastAsia="Times New Roman" w:hAnsi="Times New Roman" w:cs="Times New Roman"/>
          <w:color w:val="000000"/>
          <w:sz w:val="24"/>
          <w:szCs w:val="24"/>
        </w:rPr>
        <w:t>s</w:t>
      </w:r>
      <w:r w:rsidRPr="00296CF6">
        <w:rPr>
          <w:rFonts w:ascii="Times New Roman" w:eastAsia="Times New Roman" w:hAnsi="Times New Roman" w:cs="Times New Roman"/>
          <w:color w:val="000000"/>
          <w:sz w:val="24"/>
          <w:szCs w:val="24"/>
        </w:rPr>
        <w:t xml:space="preserve"> e efetiva</w:t>
      </w:r>
      <w:r w:rsidR="00B2708C">
        <w:rPr>
          <w:rFonts w:ascii="Times New Roman" w:eastAsia="Times New Roman" w:hAnsi="Times New Roman" w:cs="Times New Roman"/>
          <w:color w:val="000000"/>
          <w:sz w:val="24"/>
          <w:szCs w:val="24"/>
        </w:rPr>
        <w:t>s</w:t>
      </w:r>
      <w:r w:rsidRPr="00296CF6">
        <w:rPr>
          <w:rFonts w:ascii="Times New Roman" w:eastAsia="Times New Roman" w:hAnsi="Times New Roman" w:cs="Times New Roman"/>
          <w:color w:val="000000"/>
          <w:sz w:val="24"/>
          <w:szCs w:val="24"/>
        </w:rPr>
        <w:t xml:space="preserve"> dos órgãos federais e das autoridades responsáveis. </w:t>
      </w:r>
      <w:r w:rsidR="00B2708C">
        <w:rPr>
          <w:rFonts w:ascii="Times New Roman" w:eastAsia="Times New Roman" w:hAnsi="Times New Roman" w:cs="Times New Roman"/>
          <w:color w:val="000000"/>
          <w:sz w:val="24"/>
          <w:szCs w:val="24"/>
        </w:rPr>
        <w:t xml:space="preserve">Tais pressões </w:t>
      </w:r>
      <w:r w:rsidRPr="00296CF6">
        <w:rPr>
          <w:rFonts w:ascii="Times New Roman" w:eastAsia="Times New Roman" w:hAnsi="Times New Roman" w:cs="Times New Roman"/>
          <w:color w:val="000000"/>
          <w:sz w:val="24"/>
          <w:szCs w:val="24"/>
        </w:rPr>
        <w:t>deixam os povos indígenas isolados cada vez mais expostos e ainda mais vulneráveis.</w:t>
      </w:r>
      <w:r w:rsidR="001568F3">
        <w:rPr>
          <w:rFonts w:ascii="Times New Roman" w:eastAsia="Times New Roman" w:hAnsi="Times New Roman" w:cs="Times New Roman"/>
          <w:color w:val="000000"/>
          <w:sz w:val="24"/>
          <w:szCs w:val="24"/>
        </w:rPr>
        <w:t xml:space="preserve"> </w:t>
      </w:r>
      <w:r w:rsidR="001568F3" w:rsidRPr="00296CF6">
        <w:rPr>
          <w:rFonts w:ascii="Times New Roman" w:eastAsia="Times New Roman" w:hAnsi="Times New Roman" w:cs="Times New Roman"/>
          <w:color w:val="000000"/>
          <w:sz w:val="24"/>
          <w:szCs w:val="24"/>
        </w:rPr>
        <w:t xml:space="preserve">Durante o </w:t>
      </w:r>
      <w:r w:rsidR="001568F3">
        <w:rPr>
          <w:rFonts w:ascii="Times New Roman" w:eastAsia="Times New Roman" w:hAnsi="Times New Roman" w:cs="Times New Roman"/>
          <w:color w:val="000000"/>
          <w:sz w:val="24"/>
          <w:szCs w:val="24"/>
        </w:rPr>
        <w:t>ano de 2021</w:t>
      </w:r>
      <w:r w:rsidR="001568F3" w:rsidRPr="00296CF6">
        <w:rPr>
          <w:rFonts w:ascii="Times New Roman" w:eastAsia="Times New Roman" w:hAnsi="Times New Roman" w:cs="Times New Roman"/>
          <w:color w:val="000000"/>
          <w:sz w:val="24"/>
          <w:szCs w:val="24"/>
        </w:rPr>
        <w:t>, o nível de invasões se intensificou e o desmatamento ilegal cresceu nesses territórios, em um sinal explícito de que madeireiros ilegais</w:t>
      </w:r>
      <w:r w:rsidR="001568F3">
        <w:rPr>
          <w:rFonts w:ascii="Times New Roman" w:eastAsia="Times New Roman" w:hAnsi="Times New Roman" w:cs="Times New Roman"/>
          <w:color w:val="000000"/>
          <w:sz w:val="24"/>
          <w:szCs w:val="24"/>
        </w:rPr>
        <w:t xml:space="preserve"> e </w:t>
      </w:r>
      <w:r w:rsidR="001568F3" w:rsidRPr="00296CF6">
        <w:rPr>
          <w:rFonts w:ascii="Times New Roman" w:eastAsia="Times New Roman" w:hAnsi="Times New Roman" w:cs="Times New Roman"/>
          <w:color w:val="000000"/>
          <w:sz w:val="24"/>
          <w:szCs w:val="24"/>
        </w:rPr>
        <w:t xml:space="preserve">grileiros têm a certeza de que estas Portarias não serão renovadas pela Funai. </w:t>
      </w:r>
      <w:r w:rsidRPr="00296CF6">
        <w:rPr>
          <w:rFonts w:ascii="Times New Roman" w:eastAsia="Times New Roman" w:hAnsi="Times New Roman" w:cs="Times New Roman"/>
          <w:color w:val="000000"/>
          <w:sz w:val="24"/>
          <w:szCs w:val="24"/>
        </w:rPr>
        <w:t>A renovação das Portarias de Uso é a única forma para frear a invasão por grileiros</w:t>
      </w:r>
      <w:r w:rsidR="00B2708C">
        <w:rPr>
          <w:rFonts w:ascii="Times New Roman" w:eastAsia="Times New Roman" w:hAnsi="Times New Roman" w:cs="Times New Roman"/>
          <w:color w:val="000000"/>
          <w:sz w:val="24"/>
          <w:szCs w:val="24"/>
        </w:rPr>
        <w:t xml:space="preserve"> e </w:t>
      </w:r>
      <w:r w:rsidRPr="00296CF6">
        <w:rPr>
          <w:rFonts w:ascii="Times New Roman" w:eastAsia="Times New Roman" w:hAnsi="Times New Roman" w:cs="Times New Roman"/>
          <w:color w:val="000000"/>
          <w:sz w:val="24"/>
          <w:szCs w:val="24"/>
        </w:rPr>
        <w:t>madeireiros nos territórios e garantir o direito à vida desses povos. </w:t>
      </w:r>
    </w:p>
    <w:p w14:paraId="50DCB56C" w14:textId="77777777" w:rsidR="00186734" w:rsidRDefault="00296CF6" w:rsidP="00186734">
      <w:pPr>
        <w:suppressAutoHyphens w:val="0"/>
        <w:overflowPunct/>
        <w:autoSpaceDE w:val="0"/>
        <w:autoSpaceDN w:val="0"/>
        <w:adjustRightInd w:val="0"/>
        <w:spacing w:line="360" w:lineRule="auto"/>
        <w:ind w:firstLine="851"/>
        <w:jc w:val="both"/>
        <w:rPr>
          <w:rFonts w:ascii="Times New Roman" w:eastAsia="Times New Roman" w:hAnsi="Times New Roman" w:cs="Times New Roman"/>
          <w:color w:val="000000"/>
          <w:sz w:val="24"/>
          <w:szCs w:val="24"/>
        </w:rPr>
      </w:pPr>
      <w:r w:rsidRPr="00296CF6">
        <w:rPr>
          <w:rFonts w:ascii="Times New Roman" w:eastAsia="Times New Roman" w:hAnsi="Times New Roman" w:cs="Times New Roman"/>
          <w:color w:val="000000"/>
          <w:sz w:val="24"/>
          <w:szCs w:val="24"/>
        </w:rPr>
        <w:t xml:space="preserve">Levando-se em conta a média dos dez anos anteriores ao governo Bolsonaro, o desmatamento nas Terras Indígenas com registros de grupos isolados cresceu 1.493%. Ou seja, entre 2009 a 2018, a média registrada pelo Inpe foi de 582 hectares por ano, e durante o governo Bolsonaro a média </w:t>
      </w:r>
      <w:r w:rsidR="00186734">
        <w:rPr>
          <w:rFonts w:ascii="Times New Roman" w:eastAsia="Times New Roman" w:hAnsi="Times New Roman" w:cs="Times New Roman"/>
          <w:color w:val="000000"/>
          <w:sz w:val="24"/>
          <w:szCs w:val="24"/>
        </w:rPr>
        <w:t>passou de 9 mil hectares (</w:t>
      </w:r>
      <w:r w:rsidRPr="00296CF6">
        <w:rPr>
          <w:rFonts w:ascii="Times New Roman" w:eastAsia="Times New Roman" w:hAnsi="Times New Roman" w:cs="Times New Roman"/>
          <w:color w:val="000000"/>
          <w:sz w:val="24"/>
          <w:szCs w:val="24"/>
        </w:rPr>
        <w:t>9.271,5 h</w:t>
      </w:r>
      <w:r w:rsidR="00186734">
        <w:rPr>
          <w:rFonts w:ascii="Times New Roman" w:eastAsia="Times New Roman" w:hAnsi="Times New Roman" w:cs="Times New Roman"/>
          <w:color w:val="000000"/>
          <w:sz w:val="24"/>
          <w:szCs w:val="24"/>
        </w:rPr>
        <w:t xml:space="preserve">a) </w:t>
      </w:r>
      <w:r w:rsidRPr="00296CF6">
        <w:rPr>
          <w:rFonts w:ascii="Times New Roman" w:eastAsia="Times New Roman" w:hAnsi="Times New Roman" w:cs="Times New Roman"/>
          <w:color w:val="000000"/>
          <w:sz w:val="24"/>
          <w:szCs w:val="24"/>
        </w:rPr>
        <w:t>por ano.</w:t>
      </w:r>
    </w:p>
    <w:p w14:paraId="51AC246F" w14:textId="091687AC" w:rsidR="00296CF6" w:rsidRPr="00296CF6" w:rsidRDefault="00296CF6" w:rsidP="00186734">
      <w:pPr>
        <w:suppressAutoHyphens w:val="0"/>
        <w:overflowPunct/>
        <w:autoSpaceDE w:val="0"/>
        <w:autoSpaceDN w:val="0"/>
        <w:adjustRightInd w:val="0"/>
        <w:spacing w:line="360" w:lineRule="auto"/>
        <w:ind w:firstLine="851"/>
        <w:jc w:val="both"/>
        <w:rPr>
          <w:rFonts w:ascii="Times New Roman" w:hAnsi="Times New Roman" w:cs="Times New Roman"/>
          <w:color w:val="000000"/>
          <w:sz w:val="24"/>
          <w:szCs w:val="24"/>
        </w:rPr>
      </w:pPr>
      <w:r w:rsidRPr="00296CF6">
        <w:rPr>
          <w:rFonts w:ascii="Times New Roman" w:eastAsia="Times New Roman" w:hAnsi="Times New Roman" w:cs="Times New Roman"/>
          <w:color w:val="000000"/>
          <w:sz w:val="24"/>
          <w:szCs w:val="24"/>
        </w:rPr>
        <w:t>Em 2019, uma pesquisa do Datafolha mostrou que 93% dos brasileiros são a favor de políticas públicas que garantam a sobrevivência dos povos indígenas isolados</w:t>
      </w:r>
      <w:r w:rsidR="00186734">
        <w:rPr>
          <w:rStyle w:val="Refdenotaderodap"/>
          <w:rFonts w:ascii="Times New Roman" w:eastAsia="Times New Roman" w:hAnsi="Times New Roman" w:cs="Times New Roman"/>
          <w:color w:val="000000"/>
          <w:sz w:val="24"/>
          <w:szCs w:val="24"/>
        </w:rPr>
        <w:footnoteReference w:id="5"/>
      </w:r>
      <w:r w:rsidRPr="00296CF6">
        <w:rPr>
          <w:rFonts w:ascii="Times New Roman" w:eastAsia="Times New Roman" w:hAnsi="Times New Roman" w:cs="Times New Roman"/>
          <w:color w:val="000000"/>
          <w:sz w:val="24"/>
          <w:szCs w:val="24"/>
        </w:rPr>
        <w:t>. </w:t>
      </w:r>
    </w:p>
    <w:p w14:paraId="1C374452" w14:textId="63E3D9A0" w:rsidR="00296CF6" w:rsidRDefault="00296CF6" w:rsidP="00DC71F1">
      <w:pPr>
        <w:spacing w:line="360" w:lineRule="auto"/>
        <w:jc w:val="both"/>
        <w:rPr>
          <w:rFonts w:ascii="Times New Roman" w:hAnsi="Times New Roman" w:cs="Times New Roman"/>
          <w:color w:val="000000"/>
          <w:sz w:val="23"/>
          <w:szCs w:val="23"/>
        </w:rPr>
      </w:pPr>
    </w:p>
    <w:p w14:paraId="3720C30A" w14:textId="7EE73065" w:rsidR="00F621C1" w:rsidRDefault="00F621C1" w:rsidP="00DC71F1">
      <w:pPr>
        <w:spacing w:line="360" w:lineRule="auto"/>
        <w:jc w:val="both"/>
        <w:rPr>
          <w:rFonts w:ascii="Times New Roman" w:hAnsi="Times New Roman" w:cs="Times New Roman"/>
          <w:color w:val="000000"/>
          <w:sz w:val="23"/>
          <w:szCs w:val="23"/>
        </w:rPr>
      </w:pPr>
    </w:p>
    <w:p w14:paraId="063883C3" w14:textId="41238710" w:rsidR="00F621C1" w:rsidRDefault="00F621C1" w:rsidP="00DC71F1">
      <w:pPr>
        <w:spacing w:line="360" w:lineRule="auto"/>
        <w:jc w:val="both"/>
        <w:rPr>
          <w:rFonts w:ascii="Times New Roman" w:hAnsi="Times New Roman" w:cs="Times New Roman"/>
          <w:color w:val="000000"/>
          <w:sz w:val="23"/>
          <w:szCs w:val="23"/>
        </w:rPr>
      </w:pPr>
    </w:p>
    <w:p w14:paraId="0B0145A3" w14:textId="77777777" w:rsidR="00F621C1" w:rsidRDefault="00F621C1" w:rsidP="00DC71F1">
      <w:pPr>
        <w:spacing w:line="360" w:lineRule="auto"/>
        <w:jc w:val="both"/>
        <w:rPr>
          <w:rFonts w:ascii="Times New Roman" w:hAnsi="Times New Roman" w:cs="Times New Roman"/>
          <w:color w:val="000000"/>
          <w:sz w:val="23"/>
          <w:szCs w:val="23"/>
        </w:rPr>
      </w:pPr>
    </w:p>
    <w:p w14:paraId="74B210A3" w14:textId="77777777" w:rsidR="0059037A" w:rsidRDefault="00186734" w:rsidP="0059037A">
      <w:pPr>
        <w:spacing w:line="360" w:lineRule="auto"/>
        <w:rPr>
          <w:rFonts w:ascii="Times New Roman" w:hAnsi="Times New Roman" w:cs="Times New Roman"/>
          <w:b/>
          <w:bCs/>
          <w:smallCaps/>
          <w:kern w:val="2"/>
          <w:sz w:val="24"/>
          <w:szCs w:val="24"/>
        </w:rPr>
      </w:pPr>
      <w:r>
        <w:rPr>
          <w:rFonts w:ascii="Times New Roman" w:hAnsi="Times New Roman" w:cs="Times New Roman"/>
          <w:b/>
          <w:bCs/>
          <w:smallCaps/>
          <w:kern w:val="2"/>
          <w:sz w:val="24"/>
          <w:szCs w:val="24"/>
        </w:rPr>
        <w:t>3</w:t>
      </w:r>
      <w:r>
        <w:rPr>
          <w:rFonts w:ascii="Times New Roman" w:hAnsi="Times New Roman" w:cs="Times New Roman"/>
          <w:b/>
          <w:bCs/>
          <w:smallCaps/>
          <w:kern w:val="2"/>
          <w:sz w:val="24"/>
          <w:szCs w:val="24"/>
        </w:rPr>
        <w:t xml:space="preserve">. A </w:t>
      </w:r>
      <w:r>
        <w:rPr>
          <w:rFonts w:ascii="Times New Roman" w:hAnsi="Times New Roman" w:cs="Times New Roman"/>
          <w:b/>
          <w:bCs/>
          <w:smallCaps/>
          <w:kern w:val="2"/>
          <w:sz w:val="24"/>
          <w:szCs w:val="24"/>
        </w:rPr>
        <w:t>Terra Indígena Jacareúba-Katawixi</w:t>
      </w:r>
    </w:p>
    <w:p w14:paraId="7D8A2C8A" w14:textId="77777777" w:rsidR="0059037A" w:rsidRDefault="0059037A" w:rsidP="0059037A">
      <w:pPr>
        <w:spacing w:line="360" w:lineRule="auto"/>
        <w:jc w:val="both"/>
        <w:rPr>
          <w:rFonts w:ascii="Times New Roman" w:hAnsi="Times New Roman" w:cs="Times New Roman"/>
          <w:sz w:val="24"/>
          <w:szCs w:val="24"/>
          <w:shd w:val="clear" w:color="auto" w:fill="FFFFFF" w:themeFill="background1"/>
        </w:rPr>
      </w:pPr>
    </w:p>
    <w:p w14:paraId="0CE0B61C" w14:textId="0BD13EEA" w:rsidR="00DA123E" w:rsidRDefault="0059037A" w:rsidP="00DA123E">
      <w:pPr>
        <w:spacing w:line="360" w:lineRule="auto"/>
        <w:ind w:firstLine="851"/>
        <w:jc w:val="both"/>
        <w:rPr>
          <w:rFonts w:ascii="Times New Roman" w:hAnsi="Times New Roman" w:cs="Times New Roman"/>
          <w:sz w:val="24"/>
          <w:szCs w:val="24"/>
        </w:rPr>
      </w:pPr>
      <w:r w:rsidRPr="00317CD7">
        <w:rPr>
          <w:rFonts w:ascii="Times New Roman" w:hAnsi="Times New Roman" w:cs="Times New Roman"/>
          <w:color w:val="000000"/>
          <w:sz w:val="24"/>
          <w:szCs w:val="24"/>
        </w:rPr>
        <w:t xml:space="preserve">A TI </w:t>
      </w:r>
      <w:r>
        <w:rPr>
          <w:rFonts w:ascii="Times New Roman" w:hAnsi="Times New Roman" w:cs="Times New Roman"/>
          <w:color w:val="000000"/>
          <w:sz w:val="24"/>
          <w:szCs w:val="24"/>
        </w:rPr>
        <w:t xml:space="preserve">Jacareúba-Katawixi </w:t>
      </w:r>
      <w:r w:rsidRPr="00317CD7">
        <w:rPr>
          <w:rFonts w:ascii="Times New Roman" w:hAnsi="Times New Roman" w:cs="Times New Roman"/>
          <w:color w:val="000000"/>
          <w:sz w:val="24"/>
          <w:szCs w:val="24"/>
        </w:rPr>
        <w:t xml:space="preserve">é habitada por um grupo de indígenas isolados chamados de </w:t>
      </w:r>
      <w:r w:rsidR="007A34A1" w:rsidRPr="007A34A1">
        <w:rPr>
          <w:rFonts w:ascii="Times New Roman" w:hAnsi="Times New Roman" w:cs="Times New Roman"/>
          <w:color w:val="000000"/>
          <w:sz w:val="24"/>
          <w:szCs w:val="24"/>
        </w:rPr>
        <w:t>Katawixi</w:t>
      </w:r>
      <w:r w:rsidR="007A34A1">
        <w:rPr>
          <w:rFonts w:ascii="Times New Roman" w:hAnsi="Times New Roman" w:cs="Times New Roman"/>
          <w:color w:val="000000"/>
          <w:sz w:val="24"/>
          <w:szCs w:val="24"/>
        </w:rPr>
        <w:t xml:space="preserve">. O registro deste grupo isolado está classificado pela Funai como um registro “em estudo”, o que demanda a realização de estudos de </w:t>
      </w:r>
      <w:r w:rsidR="007A34A1" w:rsidRPr="00296CF6">
        <w:rPr>
          <w:rFonts w:ascii="Times New Roman" w:eastAsia="Times New Roman" w:hAnsi="Times New Roman" w:cs="Times New Roman"/>
          <w:color w:val="000000"/>
          <w:sz w:val="24"/>
          <w:szCs w:val="24"/>
        </w:rPr>
        <w:t>confirmação da presença de</w:t>
      </w:r>
      <w:r w:rsidR="007A34A1">
        <w:rPr>
          <w:rFonts w:ascii="Times New Roman" w:eastAsia="Times New Roman" w:hAnsi="Times New Roman" w:cs="Times New Roman"/>
          <w:color w:val="000000"/>
          <w:sz w:val="24"/>
          <w:szCs w:val="24"/>
        </w:rPr>
        <w:t xml:space="preserve">ste </w:t>
      </w:r>
      <w:r w:rsidR="007A34A1" w:rsidRPr="00296CF6">
        <w:rPr>
          <w:rFonts w:ascii="Times New Roman" w:eastAsia="Times New Roman" w:hAnsi="Times New Roman" w:cs="Times New Roman"/>
          <w:color w:val="000000"/>
          <w:sz w:val="24"/>
          <w:szCs w:val="24"/>
        </w:rPr>
        <w:t>povo isolado</w:t>
      </w:r>
      <w:r w:rsidR="007A34A1">
        <w:rPr>
          <w:rFonts w:ascii="Times New Roman" w:eastAsia="Times New Roman" w:hAnsi="Times New Roman" w:cs="Times New Roman"/>
          <w:color w:val="000000"/>
          <w:sz w:val="24"/>
          <w:szCs w:val="24"/>
        </w:rPr>
        <w:t xml:space="preserve">, aliado a operações de </w:t>
      </w:r>
      <w:r w:rsidR="007A34A1" w:rsidRPr="00296CF6">
        <w:rPr>
          <w:rFonts w:ascii="Times New Roman" w:eastAsia="Times New Roman" w:hAnsi="Times New Roman" w:cs="Times New Roman"/>
          <w:color w:val="000000"/>
          <w:sz w:val="24"/>
          <w:szCs w:val="24"/>
        </w:rPr>
        <w:t>proteção</w:t>
      </w:r>
      <w:r w:rsidR="007A34A1">
        <w:rPr>
          <w:rFonts w:ascii="Times New Roman" w:eastAsia="Times New Roman" w:hAnsi="Times New Roman" w:cs="Times New Roman"/>
          <w:color w:val="000000"/>
          <w:sz w:val="24"/>
          <w:szCs w:val="24"/>
        </w:rPr>
        <w:t xml:space="preserve"> e </w:t>
      </w:r>
      <w:r w:rsidR="007A34A1" w:rsidRPr="00296CF6">
        <w:rPr>
          <w:rFonts w:ascii="Times New Roman" w:eastAsia="Times New Roman" w:hAnsi="Times New Roman" w:cs="Times New Roman"/>
          <w:color w:val="000000"/>
          <w:sz w:val="24"/>
          <w:szCs w:val="24"/>
        </w:rPr>
        <w:t>fiscalização</w:t>
      </w:r>
      <w:r w:rsidR="007A34A1">
        <w:rPr>
          <w:rFonts w:ascii="Times New Roman" w:eastAsia="Times New Roman" w:hAnsi="Times New Roman" w:cs="Times New Roman"/>
          <w:color w:val="000000"/>
          <w:sz w:val="24"/>
          <w:szCs w:val="24"/>
        </w:rPr>
        <w:t xml:space="preserve"> do território. Expedições realizadas pela Funai na </w:t>
      </w:r>
      <w:r w:rsidR="007A34A1" w:rsidRPr="004038C6">
        <w:rPr>
          <w:rFonts w:ascii="Times New Roman" w:eastAsia="Times New Roman" w:hAnsi="Times New Roman" w:cs="Times New Roman"/>
          <w:color w:val="000000"/>
          <w:sz w:val="24"/>
          <w:szCs w:val="24"/>
        </w:rPr>
        <w:t xml:space="preserve">TI </w:t>
      </w:r>
      <w:r w:rsidR="007A34A1" w:rsidRPr="004038C6">
        <w:rPr>
          <w:rFonts w:ascii="Times New Roman" w:hAnsi="Times New Roman" w:cs="Times New Roman"/>
          <w:color w:val="000000"/>
          <w:sz w:val="24"/>
          <w:szCs w:val="24"/>
        </w:rPr>
        <w:t>Jacareúba-Katawixi</w:t>
      </w:r>
      <w:r w:rsidR="007A34A1" w:rsidRPr="004038C6">
        <w:rPr>
          <w:rFonts w:ascii="Times New Roman" w:hAnsi="Times New Roman" w:cs="Times New Roman"/>
          <w:color w:val="000000"/>
          <w:sz w:val="24"/>
          <w:szCs w:val="24"/>
        </w:rPr>
        <w:t xml:space="preserve"> já identificaram </w:t>
      </w:r>
      <w:r w:rsidR="00DA123E" w:rsidRPr="004038C6">
        <w:rPr>
          <w:rFonts w:ascii="Times New Roman" w:hAnsi="Times New Roman" w:cs="Times New Roman"/>
          <w:color w:val="000000"/>
          <w:sz w:val="24"/>
          <w:szCs w:val="24"/>
        </w:rPr>
        <w:t xml:space="preserve">vestígios que formam o registro indigenista deste </w:t>
      </w:r>
      <w:r w:rsidR="007A34A1" w:rsidRPr="004038C6">
        <w:rPr>
          <w:rFonts w:ascii="Times New Roman" w:hAnsi="Times New Roman" w:cs="Times New Roman"/>
          <w:color w:val="000000"/>
          <w:sz w:val="24"/>
          <w:szCs w:val="24"/>
        </w:rPr>
        <w:t>grupo isolado</w:t>
      </w:r>
      <w:r w:rsidR="004038C6">
        <w:rPr>
          <w:rFonts w:ascii="Times New Roman" w:hAnsi="Times New Roman" w:cs="Times New Roman"/>
          <w:color w:val="000000"/>
          <w:sz w:val="24"/>
          <w:szCs w:val="24"/>
        </w:rPr>
        <w:t xml:space="preserve">, tais como </w:t>
      </w:r>
      <w:r w:rsidR="00DA123E" w:rsidRPr="004038C6">
        <w:rPr>
          <w:rFonts w:ascii="Times New Roman" w:hAnsi="Times New Roman" w:cs="Times New Roman"/>
          <w:sz w:val="24"/>
          <w:szCs w:val="24"/>
        </w:rPr>
        <w:t>acampamentos</w:t>
      </w:r>
      <w:r w:rsidR="004038C6">
        <w:rPr>
          <w:rFonts w:ascii="Times New Roman" w:hAnsi="Times New Roman" w:cs="Times New Roman"/>
          <w:sz w:val="24"/>
          <w:szCs w:val="24"/>
        </w:rPr>
        <w:t xml:space="preserve"> </w:t>
      </w:r>
      <w:r w:rsidR="00DA123E" w:rsidRPr="004038C6">
        <w:rPr>
          <w:rFonts w:ascii="Times New Roman" w:hAnsi="Times New Roman" w:cs="Times New Roman"/>
          <w:sz w:val="24"/>
          <w:szCs w:val="24"/>
        </w:rPr>
        <w:t xml:space="preserve">abandonados, florestas “antrópicas”, </w:t>
      </w:r>
      <w:r w:rsidR="004038C6">
        <w:rPr>
          <w:rFonts w:ascii="Times New Roman" w:hAnsi="Times New Roman" w:cs="Times New Roman"/>
          <w:sz w:val="24"/>
          <w:szCs w:val="24"/>
        </w:rPr>
        <w:t>pães-de-índio</w:t>
      </w:r>
      <w:r w:rsidR="004038C6">
        <w:rPr>
          <w:rStyle w:val="Refdenotaderodap"/>
          <w:rFonts w:ascii="Times New Roman" w:hAnsi="Times New Roman" w:cs="Times New Roman"/>
          <w:sz w:val="24"/>
          <w:szCs w:val="24"/>
        </w:rPr>
        <w:footnoteReference w:id="6"/>
      </w:r>
      <w:r w:rsidR="004038C6">
        <w:rPr>
          <w:rFonts w:ascii="Times New Roman" w:hAnsi="Times New Roman" w:cs="Times New Roman"/>
          <w:sz w:val="24"/>
          <w:szCs w:val="24"/>
        </w:rPr>
        <w:t xml:space="preserve">, </w:t>
      </w:r>
      <w:r w:rsidR="00DA123E" w:rsidRPr="004038C6">
        <w:rPr>
          <w:rFonts w:ascii="Times New Roman" w:hAnsi="Times New Roman" w:cs="Times New Roman"/>
          <w:sz w:val="24"/>
          <w:szCs w:val="24"/>
        </w:rPr>
        <w:t>quebradas na mata</w:t>
      </w:r>
      <w:r w:rsidR="004038C6">
        <w:rPr>
          <w:rStyle w:val="Refdenotaderodap"/>
          <w:rFonts w:ascii="Times New Roman" w:hAnsi="Times New Roman" w:cs="Times New Roman"/>
          <w:sz w:val="24"/>
          <w:szCs w:val="24"/>
        </w:rPr>
        <w:footnoteReference w:id="7"/>
      </w:r>
      <w:r w:rsidR="004038C6">
        <w:rPr>
          <w:rFonts w:ascii="Times New Roman" w:hAnsi="Times New Roman" w:cs="Times New Roman"/>
          <w:sz w:val="24"/>
          <w:szCs w:val="24"/>
        </w:rPr>
        <w:t xml:space="preserve"> e </w:t>
      </w:r>
      <w:r w:rsidR="00DA123E" w:rsidRPr="004038C6">
        <w:rPr>
          <w:rFonts w:ascii="Times New Roman" w:hAnsi="Times New Roman" w:cs="Times New Roman"/>
          <w:sz w:val="24"/>
          <w:szCs w:val="24"/>
        </w:rPr>
        <w:t>varadouros</w:t>
      </w:r>
      <w:r w:rsidR="004038C6">
        <w:rPr>
          <w:rFonts w:ascii="Times New Roman" w:hAnsi="Times New Roman" w:cs="Times New Roman"/>
          <w:sz w:val="24"/>
          <w:szCs w:val="24"/>
        </w:rPr>
        <w:t xml:space="preserve">. </w:t>
      </w:r>
      <w:r w:rsidR="00DA123E" w:rsidRPr="004038C6">
        <w:rPr>
          <w:rFonts w:ascii="Times New Roman" w:hAnsi="Times New Roman" w:cs="Times New Roman"/>
          <w:sz w:val="24"/>
          <w:szCs w:val="24"/>
        </w:rPr>
        <w:t xml:space="preserve">Estes </w:t>
      </w:r>
      <w:r w:rsidR="00DA123E" w:rsidRPr="004038C6">
        <w:rPr>
          <w:rFonts w:ascii="Times New Roman" w:hAnsi="Times New Roman" w:cs="Times New Roman"/>
          <w:sz w:val="24"/>
          <w:szCs w:val="24"/>
        </w:rPr>
        <w:t>vestígios</w:t>
      </w:r>
      <w:r w:rsidR="00C90E6D">
        <w:rPr>
          <w:rFonts w:ascii="Times New Roman" w:hAnsi="Times New Roman" w:cs="Times New Roman"/>
          <w:sz w:val="24"/>
          <w:szCs w:val="24"/>
        </w:rPr>
        <w:t xml:space="preserve"> </w:t>
      </w:r>
      <w:r w:rsidR="00DA123E" w:rsidRPr="004038C6">
        <w:rPr>
          <w:rFonts w:ascii="Times New Roman" w:hAnsi="Times New Roman" w:cs="Times New Roman"/>
          <w:sz w:val="24"/>
          <w:szCs w:val="24"/>
        </w:rPr>
        <w:t>primários</w:t>
      </w:r>
      <w:r w:rsidR="00C90E6D">
        <w:rPr>
          <w:rFonts w:ascii="Times New Roman" w:hAnsi="Times New Roman" w:cs="Times New Roman"/>
          <w:sz w:val="24"/>
          <w:szCs w:val="24"/>
        </w:rPr>
        <w:t xml:space="preserve"> </w:t>
      </w:r>
      <w:r w:rsidR="00DA123E" w:rsidRPr="004038C6">
        <w:rPr>
          <w:rFonts w:ascii="Times New Roman" w:hAnsi="Times New Roman" w:cs="Times New Roman"/>
          <w:sz w:val="24"/>
          <w:szCs w:val="24"/>
        </w:rPr>
        <w:t xml:space="preserve">refletem a ação dos povos indígenas </w:t>
      </w:r>
      <w:r w:rsidR="00C90E6D">
        <w:rPr>
          <w:rFonts w:ascii="Times New Roman" w:hAnsi="Times New Roman" w:cs="Times New Roman"/>
          <w:sz w:val="24"/>
          <w:szCs w:val="24"/>
        </w:rPr>
        <w:t xml:space="preserve">isolados </w:t>
      </w:r>
      <w:r w:rsidR="00DA123E" w:rsidRPr="004038C6">
        <w:rPr>
          <w:rFonts w:ascii="Times New Roman" w:hAnsi="Times New Roman" w:cs="Times New Roman"/>
          <w:sz w:val="24"/>
          <w:szCs w:val="24"/>
        </w:rPr>
        <w:t xml:space="preserve">sobre </w:t>
      </w:r>
      <w:r w:rsidR="00C90E6D">
        <w:rPr>
          <w:rFonts w:ascii="Times New Roman" w:hAnsi="Times New Roman" w:cs="Times New Roman"/>
          <w:sz w:val="24"/>
          <w:szCs w:val="24"/>
        </w:rPr>
        <w:t xml:space="preserve">a paisagem e </w:t>
      </w:r>
      <w:r w:rsidR="00DA123E" w:rsidRPr="004038C6">
        <w:rPr>
          <w:rFonts w:ascii="Times New Roman" w:hAnsi="Times New Roman" w:cs="Times New Roman"/>
          <w:sz w:val="24"/>
          <w:szCs w:val="24"/>
        </w:rPr>
        <w:t>os elementos</w:t>
      </w:r>
      <w:r w:rsidR="00C90E6D">
        <w:rPr>
          <w:rFonts w:ascii="Times New Roman" w:hAnsi="Times New Roman" w:cs="Times New Roman"/>
          <w:sz w:val="24"/>
          <w:szCs w:val="24"/>
        </w:rPr>
        <w:t xml:space="preserve"> </w:t>
      </w:r>
      <w:r w:rsidR="00DA123E" w:rsidRPr="004038C6">
        <w:rPr>
          <w:rFonts w:ascii="Times New Roman" w:hAnsi="Times New Roman" w:cs="Times New Roman"/>
          <w:sz w:val="24"/>
          <w:szCs w:val="24"/>
        </w:rPr>
        <w:t>vegetais presentes em seu território.</w:t>
      </w:r>
    </w:p>
    <w:p w14:paraId="1E73B1D1" w14:textId="26206DDE" w:rsidR="008E7B9D" w:rsidRDefault="00C90E6D" w:rsidP="008E7B9D">
      <w:pPr>
        <w:spacing w:line="360" w:lineRule="auto"/>
        <w:ind w:firstLine="851"/>
        <w:jc w:val="both"/>
        <w:rPr>
          <w:rFonts w:ascii="Times New Roman" w:hAnsi="Times New Roman" w:cs="Times New Roman"/>
          <w:color w:val="000000"/>
          <w:sz w:val="24"/>
          <w:szCs w:val="24"/>
        </w:rPr>
      </w:pPr>
      <w:r w:rsidRPr="00317CD7">
        <w:rPr>
          <w:rFonts w:ascii="Times New Roman" w:hAnsi="Times New Roman" w:cs="Times New Roman"/>
          <w:color w:val="000000"/>
          <w:sz w:val="24"/>
          <w:szCs w:val="24"/>
        </w:rPr>
        <w:t>A TI está localizada nos municípios de C</w:t>
      </w:r>
      <w:r>
        <w:rPr>
          <w:rFonts w:ascii="Times New Roman" w:hAnsi="Times New Roman" w:cs="Times New Roman"/>
          <w:color w:val="000000"/>
          <w:sz w:val="24"/>
          <w:szCs w:val="24"/>
        </w:rPr>
        <w:t>anutama e Lábrea</w:t>
      </w:r>
      <w:r w:rsidRPr="00317CD7">
        <w:rPr>
          <w:rFonts w:ascii="Times New Roman" w:hAnsi="Times New Roman" w:cs="Times New Roman"/>
          <w:color w:val="000000"/>
          <w:sz w:val="24"/>
          <w:szCs w:val="24"/>
        </w:rPr>
        <w:t xml:space="preserve">, no estado de </w:t>
      </w:r>
      <w:r>
        <w:rPr>
          <w:rFonts w:ascii="Times New Roman" w:hAnsi="Times New Roman" w:cs="Times New Roman"/>
          <w:color w:val="000000"/>
          <w:sz w:val="24"/>
          <w:szCs w:val="24"/>
        </w:rPr>
        <w:t>Amazonas</w:t>
      </w:r>
      <w:r w:rsidR="00A52962">
        <w:rPr>
          <w:rFonts w:ascii="Times New Roman" w:hAnsi="Times New Roman" w:cs="Times New Roman"/>
          <w:color w:val="000000"/>
          <w:sz w:val="24"/>
          <w:szCs w:val="24"/>
        </w:rPr>
        <w:t xml:space="preserve"> (Figura 1)</w:t>
      </w:r>
      <w:r w:rsidR="00540047">
        <w:rPr>
          <w:rFonts w:ascii="Times New Roman" w:hAnsi="Times New Roman" w:cs="Times New Roman"/>
          <w:sz w:val="24"/>
          <w:szCs w:val="24"/>
          <w:shd w:val="clear" w:color="auto" w:fill="FFFFFF"/>
        </w:rPr>
        <w:t xml:space="preserve">. </w:t>
      </w:r>
      <w:r w:rsidR="00A52962" w:rsidRPr="00317CD7">
        <w:rPr>
          <w:rFonts w:ascii="Times New Roman" w:hAnsi="Times New Roman" w:cs="Times New Roman"/>
          <w:color w:val="000000"/>
          <w:sz w:val="24"/>
          <w:szCs w:val="24"/>
        </w:rPr>
        <w:t xml:space="preserve">O processo de demarcação da TI remonta aos idos de </w:t>
      </w:r>
      <w:r w:rsidR="00A52962">
        <w:rPr>
          <w:rFonts w:ascii="Times New Roman" w:hAnsi="Times New Roman" w:cs="Times New Roman"/>
          <w:color w:val="000000"/>
          <w:sz w:val="24"/>
          <w:szCs w:val="24"/>
        </w:rPr>
        <w:t>2007</w:t>
      </w:r>
      <w:r w:rsidR="00A52962" w:rsidRPr="00317CD7">
        <w:rPr>
          <w:rFonts w:ascii="Times New Roman" w:hAnsi="Times New Roman" w:cs="Times New Roman"/>
          <w:color w:val="000000"/>
          <w:sz w:val="24"/>
          <w:szCs w:val="24"/>
        </w:rPr>
        <w:t xml:space="preserve">, ano em que a </w:t>
      </w:r>
      <w:r w:rsidR="00A52962" w:rsidRPr="00A52962">
        <w:rPr>
          <w:rFonts w:ascii="Times New Roman" w:hAnsi="Times New Roman" w:cs="Times New Roman"/>
          <w:color w:val="000000"/>
          <w:sz w:val="24"/>
          <w:szCs w:val="24"/>
        </w:rPr>
        <w:t>Funai estabelece a restrição de ingresso, locomoção e permanência de pessoas estranhas aos quadros da F</w:t>
      </w:r>
      <w:r w:rsidR="007B644C">
        <w:rPr>
          <w:rFonts w:ascii="Times New Roman" w:hAnsi="Times New Roman" w:cs="Times New Roman"/>
          <w:color w:val="000000"/>
          <w:sz w:val="24"/>
          <w:szCs w:val="24"/>
        </w:rPr>
        <w:t>unai</w:t>
      </w:r>
      <w:r w:rsidR="00A52962" w:rsidRPr="00A52962">
        <w:rPr>
          <w:rFonts w:ascii="Times New Roman" w:hAnsi="Times New Roman" w:cs="Times New Roman"/>
          <w:color w:val="000000"/>
          <w:sz w:val="24"/>
          <w:szCs w:val="24"/>
        </w:rPr>
        <w:t>, na área, pelo prazo de três anos a contar de sua publicação</w:t>
      </w:r>
      <w:r w:rsidR="00B42E5C">
        <w:rPr>
          <w:rFonts w:ascii="Times New Roman" w:hAnsi="Times New Roman" w:cs="Times New Roman"/>
          <w:color w:val="000000"/>
          <w:sz w:val="24"/>
          <w:szCs w:val="24"/>
        </w:rPr>
        <w:t>. Esta primeira Portaria de Restrição de Uso</w:t>
      </w:r>
      <w:r w:rsidR="007B644C">
        <w:rPr>
          <w:rFonts w:ascii="Times New Roman" w:hAnsi="Times New Roman" w:cs="Times New Roman"/>
          <w:color w:val="000000"/>
          <w:sz w:val="24"/>
          <w:szCs w:val="24"/>
        </w:rPr>
        <w:t xml:space="preserve"> (Portaria No. 10 de 11.01.2007)</w:t>
      </w:r>
      <w:r w:rsidR="00B42E5C">
        <w:rPr>
          <w:rFonts w:ascii="Times New Roman" w:hAnsi="Times New Roman" w:cs="Times New Roman"/>
          <w:color w:val="000000"/>
          <w:sz w:val="24"/>
          <w:szCs w:val="24"/>
        </w:rPr>
        <w:t xml:space="preserve"> </w:t>
      </w:r>
      <w:r w:rsidR="007B644C">
        <w:rPr>
          <w:rFonts w:ascii="Times New Roman" w:hAnsi="Times New Roman" w:cs="Times New Roman"/>
          <w:color w:val="000000"/>
          <w:sz w:val="24"/>
          <w:szCs w:val="24"/>
        </w:rPr>
        <w:t>estabelece</w:t>
      </w:r>
      <w:r w:rsidR="00B42E5C">
        <w:rPr>
          <w:rFonts w:ascii="Times New Roman" w:hAnsi="Times New Roman" w:cs="Times New Roman"/>
          <w:color w:val="000000"/>
          <w:sz w:val="24"/>
          <w:szCs w:val="24"/>
        </w:rPr>
        <w:t>u</w:t>
      </w:r>
      <w:r w:rsidR="007B644C">
        <w:rPr>
          <w:rFonts w:ascii="Times New Roman" w:hAnsi="Times New Roman" w:cs="Times New Roman"/>
          <w:color w:val="000000"/>
          <w:sz w:val="24"/>
          <w:szCs w:val="24"/>
        </w:rPr>
        <w:t xml:space="preserve"> que s</w:t>
      </w:r>
      <w:r w:rsidR="00A52962" w:rsidRPr="00A52962">
        <w:rPr>
          <w:rFonts w:ascii="Times New Roman" w:hAnsi="Times New Roman" w:cs="Times New Roman"/>
          <w:color w:val="000000"/>
          <w:sz w:val="24"/>
          <w:szCs w:val="24"/>
        </w:rPr>
        <w:t>omente poderão ingressar, locomover-se e permanecer na área descrita nesta Portaria, por tempo determinado, pessoas autorizadas pela Coordenação-Geral de Índios Isolados</w:t>
      </w:r>
      <w:r w:rsidR="007B644C">
        <w:rPr>
          <w:rFonts w:ascii="Times New Roman" w:hAnsi="Times New Roman" w:cs="Times New Roman"/>
          <w:color w:val="000000"/>
          <w:sz w:val="24"/>
          <w:szCs w:val="24"/>
        </w:rPr>
        <w:t xml:space="preserve">, e a </w:t>
      </w:r>
      <w:r w:rsidR="00A52962" w:rsidRPr="00A52962">
        <w:rPr>
          <w:rFonts w:ascii="Times New Roman" w:hAnsi="Times New Roman" w:cs="Times New Roman"/>
          <w:color w:val="000000"/>
          <w:sz w:val="24"/>
          <w:szCs w:val="24"/>
        </w:rPr>
        <w:t>restrição estabelecida nesta Portaria não se aplica às Forças Armadas e Policiais, no cumprimento de suas</w:t>
      </w:r>
      <w:r w:rsidR="007B644C">
        <w:rPr>
          <w:rFonts w:ascii="Times New Roman" w:hAnsi="Times New Roman" w:cs="Times New Roman"/>
          <w:color w:val="000000"/>
          <w:sz w:val="24"/>
          <w:szCs w:val="24"/>
        </w:rPr>
        <w:t xml:space="preserve"> </w:t>
      </w:r>
      <w:r w:rsidR="00A52962" w:rsidRPr="00A52962">
        <w:rPr>
          <w:rFonts w:ascii="Times New Roman" w:hAnsi="Times New Roman" w:cs="Times New Roman"/>
          <w:color w:val="000000"/>
          <w:sz w:val="24"/>
          <w:szCs w:val="24"/>
        </w:rPr>
        <w:t>funções institucionais, cujo ingresso, locomoção e permanência na área aqui descrita, deverá ser sempre acompanhada por funcionários da</w:t>
      </w:r>
      <w:r w:rsidR="007B644C">
        <w:rPr>
          <w:rFonts w:ascii="Times New Roman" w:hAnsi="Times New Roman" w:cs="Times New Roman"/>
          <w:color w:val="000000"/>
          <w:sz w:val="24"/>
          <w:szCs w:val="24"/>
        </w:rPr>
        <w:t xml:space="preserve"> Funai. </w:t>
      </w:r>
    </w:p>
    <w:p w14:paraId="367DC853" w14:textId="3340F6DE" w:rsidR="008E7B9D" w:rsidRDefault="00B42E5C" w:rsidP="008E7B9D">
      <w:pPr>
        <w:spacing w:line="360" w:lineRule="auto"/>
        <w:ind w:firstLine="851"/>
        <w:jc w:val="both"/>
        <w:rPr>
          <w:rFonts w:ascii="Times New Roman" w:hAnsi="Times New Roman" w:cs="Times New Roman"/>
          <w:sz w:val="24"/>
          <w:szCs w:val="24"/>
        </w:rPr>
      </w:pPr>
      <w:r w:rsidRPr="00B61543">
        <w:rPr>
          <w:rFonts w:ascii="Times New Roman" w:hAnsi="Times New Roman" w:cs="Times New Roman"/>
          <w:sz w:val="24"/>
          <w:szCs w:val="24"/>
        </w:rPr>
        <w:t xml:space="preserve">Ao fim do período de </w:t>
      </w:r>
      <w:r w:rsidRPr="00B61543">
        <w:rPr>
          <w:rFonts w:ascii="Times New Roman" w:hAnsi="Times New Roman" w:cs="Times New Roman"/>
          <w:sz w:val="24"/>
          <w:szCs w:val="24"/>
        </w:rPr>
        <w:t xml:space="preserve">três </w:t>
      </w:r>
      <w:r w:rsidRPr="00B61543">
        <w:rPr>
          <w:rFonts w:ascii="Times New Roman" w:hAnsi="Times New Roman" w:cs="Times New Roman"/>
          <w:sz w:val="24"/>
          <w:szCs w:val="24"/>
        </w:rPr>
        <w:t xml:space="preserve">anos da primeira Portaria, foram publicadas outras de igual teor, com prazo de validade de </w:t>
      </w:r>
      <w:r w:rsidR="00B61543" w:rsidRPr="00B61543">
        <w:rPr>
          <w:rFonts w:ascii="Times New Roman" w:hAnsi="Times New Roman" w:cs="Times New Roman"/>
          <w:sz w:val="24"/>
          <w:szCs w:val="24"/>
        </w:rPr>
        <w:t>três anos</w:t>
      </w:r>
      <w:r w:rsidRPr="00B61543">
        <w:rPr>
          <w:rFonts w:ascii="Times New Roman" w:hAnsi="Times New Roman" w:cs="Times New Roman"/>
          <w:sz w:val="24"/>
          <w:szCs w:val="24"/>
        </w:rPr>
        <w:t xml:space="preserve">, </w:t>
      </w:r>
      <w:r w:rsidR="00B61543" w:rsidRPr="00B61543">
        <w:rPr>
          <w:rFonts w:ascii="Times New Roman" w:hAnsi="Times New Roman" w:cs="Times New Roman"/>
          <w:sz w:val="24"/>
          <w:szCs w:val="24"/>
        </w:rPr>
        <w:t xml:space="preserve">um ano e quatro </w:t>
      </w:r>
      <w:r w:rsidRPr="00B61543">
        <w:rPr>
          <w:rFonts w:ascii="Times New Roman" w:hAnsi="Times New Roman" w:cs="Times New Roman"/>
          <w:sz w:val="24"/>
          <w:szCs w:val="24"/>
        </w:rPr>
        <w:t xml:space="preserve">anos, a saber: </w:t>
      </w:r>
      <w:r w:rsidR="00B61543" w:rsidRPr="00B61543">
        <w:rPr>
          <w:rFonts w:ascii="Times New Roman" w:hAnsi="Times New Roman" w:cs="Times New Roman"/>
          <w:color w:val="000000"/>
          <w:sz w:val="24"/>
          <w:szCs w:val="24"/>
        </w:rPr>
        <w:t>Portaria No. 2015 de 03.03.2010</w:t>
      </w:r>
      <w:r w:rsidR="00B61543" w:rsidRPr="00B61543">
        <w:rPr>
          <w:rFonts w:ascii="Times New Roman" w:hAnsi="Times New Roman" w:cs="Times New Roman"/>
          <w:color w:val="000000"/>
          <w:sz w:val="24"/>
          <w:szCs w:val="24"/>
        </w:rPr>
        <w:t xml:space="preserve">, </w:t>
      </w:r>
      <w:r w:rsidR="00B61543" w:rsidRPr="00B61543">
        <w:rPr>
          <w:rFonts w:ascii="Times New Roman" w:hAnsi="Times New Roman" w:cs="Times New Roman"/>
          <w:sz w:val="24"/>
          <w:szCs w:val="24"/>
        </w:rPr>
        <w:t>publicad</w:t>
      </w:r>
      <w:r w:rsidR="00B61543">
        <w:rPr>
          <w:rFonts w:ascii="Times New Roman" w:hAnsi="Times New Roman" w:cs="Times New Roman"/>
          <w:sz w:val="24"/>
          <w:szCs w:val="24"/>
        </w:rPr>
        <w:t>a</w:t>
      </w:r>
      <w:r w:rsidR="00B61543" w:rsidRPr="00B61543">
        <w:rPr>
          <w:rFonts w:ascii="Times New Roman" w:hAnsi="Times New Roman" w:cs="Times New Roman"/>
          <w:sz w:val="24"/>
          <w:szCs w:val="24"/>
        </w:rPr>
        <w:t xml:space="preserve"> no DOU em </w:t>
      </w:r>
      <w:r w:rsidR="00B61543">
        <w:rPr>
          <w:rFonts w:ascii="Times New Roman" w:hAnsi="Times New Roman" w:cs="Times New Roman"/>
          <w:sz w:val="24"/>
          <w:szCs w:val="24"/>
        </w:rPr>
        <w:t xml:space="preserve">08.03.2010, que estabelece uma área total de </w:t>
      </w:r>
      <w:r w:rsidR="00B61543" w:rsidRPr="00B61543">
        <w:rPr>
          <w:rFonts w:ascii="Times New Roman" w:hAnsi="Times New Roman" w:cs="Times New Roman"/>
          <w:sz w:val="24"/>
          <w:szCs w:val="24"/>
          <w:shd w:val="clear" w:color="auto" w:fill="FFFFFF"/>
        </w:rPr>
        <w:t>453.400 ha</w:t>
      </w:r>
      <w:r w:rsidR="00B61543">
        <w:rPr>
          <w:rFonts w:ascii="Times New Roman" w:hAnsi="Times New Roman" w:cs="Times New Roman"/>
          <w:sz w:val="24"/>
          <w:szCs w:val="24"/>
          <w:shd w:val="clear" w:color="auto" w:fill="FFFFFF"/>
        </w:rPr>
        <w:t xml:space="preserve"> e a </w:t>
      </w:r>
      <w:r w:rsidR="00682B31">
        <w:rPr>
          <w:rFonts w:ascii="Times New Roman" w:hAnsi="Times New Roman" w:cs="Times New Roman"/>
          <w:sz w:val="24"/>
          <w:szCs w:val="24"/>
          <w:shd w:val="clear" w:color="auto" w:fill="FFFFFF"/>
        </w:rPr>
        <w:t xml:space="preserve">fiscalização pela </w:t>
      </w:r>
      <w:r w:rsidR="00B61543" w:rsidRPr="00B61543">
        <w:rPr>
          <w:rFonts w:ascii="Times New Roman" w:hAnsi="Times New Roman" w:cs="Times New Roman"/>
          <w:color w:val="000000"/>
          <w:sz w:val="24"/>
          <w:szCs w:val="24"/>
        </w:rPr>
        <w:t xml:space="preserve">Frente de Proteção Etno-Ambiental Guaporé/CGIIRC </w:t>
      </w:r>
      <w:r w:rsidR="00682B31">
        <w:rPr>
          <w:rFonts w:ascii="Times New Roman" w:hAnsi="Times New Roman" w:cs="Times New Roman"/>
          <w:color w:val="000000"/>
          <w:sz w:val="24"/>
          <w:szCs w:val="24"/>
        </w:rPr>
        <w:t>–</w:t>
      </w:r>
      <w:r w:rsidR="00B61543" w:rsidRPr="00B61543">
        <w:rPr>
          <w:rFonts w:ascii="Times New Roman" w:hAnsi="Times New Roman" w:cs="Times New Roman"/>
          <w:color w:val="000000"/>
          <w:sz w:val="24"/>
          <w:szCs w:val="24"/>
        </w:rPr>
        <w:t xml:space="preserve"> F</w:t>
      </w:r>
      <w:r w:rsidR="00B61543">
        <w:rPr>
          <w:rFonts w:ascii="Times New Roman" w:hAnsi="Times New Roman" w:cs="Times New Roman"/>
          <w:color w:val="000000"/>
          <w:sz w:val="24"/>
          <w:szCs w:val="24"/>
        </w:rPr>
        <w:t>unai</w:t>
      </w:r>
      <w:r w:rsidR="00682B31">
        <w:rPr>
          <w:rFonts w:ascii="Times New Roman" w:hAnsi="Times New Roman" w:cs="Times New Roman"/>
          <w:color w:val="000000"/>
          <w:sz w:val="24"/>
          <w:szCs w:val="24"/>
        </w:rPr>
        <w:t xml:space="preserve">; </w:t>
      </w:r>
      <w:r w:rsidR="00682B31" w:rsidRPr="00B61543">
        <w:rPr>
          <w:rFonts w:ascii="Times New Roman" w:hAnsi="Times New Roman" w:cs="Times New Roman"/>
          <w:color w:val="000000"/>
          <w:sz w:val="24"/>
          <w:szCs w:val="24"/>
        </w:rPr>
        <w:t>Portaria No. 1.665 de 04.12.2013</w:t>
      </w:r>
      <w:r w:rsidR="00682B31">
        <w:rPr>
          <w:rFonts w:ascii="Times New Roman" w:hAnsi="Times New Roman" w:cs="Times New Roman"/>
          <w:color w:val="000000"/>
          <w:sz w:val="24"/>
          <w:szCs w:val="24"/>
        </w:rPr>
        <w:t xml:space="preserve">, </w:t>
      </w:r>
      <w:r w:rsidR="00682B31" w:rsidRPr="00B61543">
        <w:rPr>
          <w:rFonts w:ascii="Times New Roman" w:hAnsi="Times New Roman" w:cs="Times New Roman"/>
          <w:sz w:val="24"/>
          <w:szCs w:val="24"/>
        </w:rPr>
        <w:t>publicad</w:t>
      </w:r>
      <w:r w:rsidR="00682B31">
        <w:rPr>
          <w:rFonts w:ascii="Times New Roman" w:hAnsi="Times New Roman" w:cs="Times New Roman"/>
          <w:sz w:val="24"/>
          <w:szCs w:val="24"/>
        </w:rPr>
        <w:t>a</w:t>
      </w:r>
      <w:r w:rsidR="00682B31" w:rsidRPr="00B61543">
        <w:rPr>
          <w:rFonts w:ascii="Times New Roman" w:hAnsi="Times New Roman" w:cs="Times New Roman"/>
          <w:sz w:val="24"/>
          <w:szCs w:val="24"/>
        </w:rPr>
        <w:t xml:space="preserve"> no DOU em </w:t>
      </w:r>
      <w:r w:rsidR="00682B31">
        <w:rPr>
          <w:rFonts w:ascii="Times New Roman" w:hAnsi="Times New Roman" w:cs="Times New Roman"/>
          <w:sz w:val="24"/>
          <w:szCs w:val="24"/>
        </w:rPr>
        <w:t>0</w:t>
      </w:r>
      <w:r w:rsidR="00682B31">
        <w:rPr>
          <w:rFonts w:ascii="Times New Roman" w:hAnsi="Times New Roman" w:cs="Times New Roman"/>
          <w:sz w:val="24"/>
          <w:szCs w:val="24"/>
        </w:rPr>
        <w:t>5</w:t>
      </w:r>
      <w:r w:rsidR="00682B31">
        <w:rPr>
          <w:rFonts w:ascii="Times New Roman" w:hAnsi="Times New Roman" w:cs="Times New Roman"/>
          <w:sz w:val="24"/>
          <w:szCs w:val="24"/>
        </w:rPr>
        <w:t>.</w:t>
      </w:r>
      <w:r w:rsidR="00682B31">
        <w:rPr>
          <w:rFonts w:ascii="Times New Roman" w:hAnsi="Times New Roman" w:cs="Times New Roman"/>
          <w:sz w:val="24"/>
          <w:szCs w:val="24"/>
        </w:rPr>
        <w:t>12</w:t>
      </w:r>
      <w:r w:rsidR="00682B31">
        <w:rPr>
          <w:rFonts w:ascii="Times New Roman" w:hAnsi="Times New Roman" w:cs="Times New Roman"/>
          <w:sz w:val="24"/>
          <w:szCs w:val="24"/>
        </w:rPr>
        <w:t>.201</w:t>
      </w:r>
      <w:r w:rsidR="00682B31">
        <w:rPr>
          <w:rFonts w:ascii="Times New Roman" w:hAnsi="Times New Roman" w:cs="Times New Roman"/>
          <w:sz w:val="24"/>
          <w:szCs w:val="24"/>
        </w:rPr>
        <w:t xml:space="preserve">3, que revisou a área oficial para </w:t>
      </w:r>
      <w:r w:rsidR="00682B31" w:rsidRPr="00B61543">
        <w:rPr>
          <w:rFonts w:ascii="Times New Roman" w:hAnsi="Times New Roman" w:cs="Times New Roman"/>
          <w:sz w:val="24"/>
          <w:szCs w:val="24"/>
          <w:shd w:val="clear" w:color="auto" w:fill="FFFFFF"/>
        </w:rPr>
        <w:t>647.386 ha</w:t>
      </w:r>
      <w:r w:rsidR="00682B31">
        <w:rPr>
          <w:rFonts w:ascii="Times New Roman" w:hAnsi="Times New Roman" w:cs="Times New Roman"/>
          <w:sz w:val="24"/>
          <w:szCs w:val="24"/>
          <w:shd w:val="clear" w:color="auto" w:fill="FFFFFF"/>
        </w:rPr>
        <w:t xml:space="preserve"> e fiscalização pela </w:t>
      </w:r>
      <w:r w:rsidR="00682B31" w:rsidRPr="00B61543">
        <w:rPr>
          <w:rFonts w:ascii="Times New Roman" w:hAnsi="Times New Roman" w:cs="Times New Roman"/>
          <w:color w:val="000000"/>
          <w:sz w:val="24"/>
          <w:szCs w:val="24"/>
        </w:rPr>
        <w:t>Frente de Proteção Etno-Ambiental Madeira/CGIIRC – F</w:t>
      </w:r>
      <w:r w:rsidR="00682B31">
        <w:rPr>
          <w:rFonts w:ascii="Times New Roman" w:hAnsi="Times New Roman" w:cs="Times New Roman"/>
          <w:color w:val="000000"/>
          <w:sz w:val="24"/>
          <w:szCs w:val="24"/>
        </w:rPr>
        <w:t xml:space="preserve">unai; </w:t>
      </w:r>
      <w:r w:rsidR="00682B31" w:rsidRPr="00B61543">
        <w:rPr>
          <w:rFonts w:ascii="Times New Roman" w:hAnsi="Times New Roman" w:cs="Times New Roman"/>
          <w:color w:val="000000"/>
          <w:sz w:val="24"/>
          <w:szCs w:val="24"/>
        </w:rPr>
        <w:t>Portaria</w:t>
      </w:r>
      <w:r w:rsidR="00682B31">
        <w:rPr>
          <w:rFonts w:ascii="Times New Roman" w:hAnsi="Times New Roman" w:cs="Times New Roman"/>
          <w:color w:val="000000"/>
          <w:sz w:val="24"/>
          <w:szCs w:val="24"/>
        </w:rPr>
        <w:t>s</w:t>
      </w:r>
      <w:r w:rsidR="00682B31" w:rsidRPr="00B61543">
        <w:rPr>
          <w:rFonts w:ascii="Times New Roman" w:hAnsi="Times New Roman" w:cs="Times New Roman"/>
          <w:color w:val="000000"/>
          <w:sz w:val="24"/>
          <w:szCs w:val="24"/>
        </w:rPr>
        <w:t xml:space="preserve"> No. 8</w:t>
      </w:r>
      <w:r w:rsidR="00682B31">
        <w:rPr>
          <w:rFonts w:ascii="Times New Roman" w:hAnsi="Times New Roman" w:cs="Times New Roman"/>
          <w:color w:val="000000"/>
          <w:sz w:val="24"/>
          <w:szCs w:val="24"/>
        </w:rPr>
        <w:t xml:space="preserve">89 </w:t>
      </w:r>
      <w:r w:rsidR="00682B31" w:rsidRPr="00B61543">
        <w:rPr>
          <w:rFonts w:ascii="Times New Roman" w:hAnsi="Times New Roman" w:cs="Times New Roman"/>
          <w:color w:val="000000"/>
          <w:sz w:val="24"/>
          <w:szCs w:val="24"/>
        </w:rPr>
        <w:t>de 08.12.2016</w:t>
      </w:r>
      <w:r w:rsidR="00682B31">
        <w:rPr>
          <w:rFonts w:ascii="Times New Roman" w:hAnsi="Times New Roman" w:cs="Times New Roman"/>
          <w:color w:val="000000"/>
          <w:sz w:val="24"/>
          <w:szCs w:val="24"/>
        </w:rPr>
        <w:t xml:space="preserve">, </w:t>
      </w:r>
      <w:r w:rsidR="00682B31" w:rsidRPr="00B61543">
        <w:rPr>
          <w:rFonts w:ascii="Times New Roman" w:hAnsi="Times New Roman" w:cs="Times New Roman"/>
          <w:sz w:val="24"/>
          <w:szCs w:val="24"/>
        </w:rPr>
        <w:t>publicad</w:t>
      </w:r>
      <w:r w:rsidR="00682B31">
        <w:rPr>
          <w:rFonts w:ascii="Times New Roman" w:hAnsi="Times New Roman" w:cs="Times New Roman"/>
          <w:sz w:val="24"/>
          <w:szCs w:val="24"/>
        </w:rPr>
        <w:t>a</w:t>
      </w:r>
      <w:r w:rsidR="00682B31" w:rsidRPr="00B61543">
        <w:rPr>
          <w:rFonts w:ascii="Times New Roman" w:hAnsi="Times New Roman" w:cs="Times New Roman"/>
          <w:sz w:val="24"/>
          <w:szCs w:val="24"/>
        </w:rPr>
        <w:t xml:space="preserve"> no DOU em </w:t>
      </w:r>
      <w:r w:rsidR="00682B31">
        <w:rPr>
          <w:rFonts w:ascii="Times New Roman" w:hAnsi="Times New Roman" w:cs="Times New Roman"/>
          <w:sz w:val="24"/>
          <w:szCs w:val="24"/>
        </w:rPr>
        <w:t>0</w:t>
      </w:r>
      <w:r w:rsidR="00682B31">
        <w:rPr>
          <w:rFonts w:ascii="Times New Roman" w:hAnsi="Times New Roman" w:cs="Times New Roman"/>
          <w:sz w:val="24"/>
          <w:szCs w:val="24"/>
        </w:rPr>
        <w:t>9</w:t>
      </w:r>
      <w:r w:rsidR="00682B31">
        <w:rPr>
          <w:rFonts w:ascii="Times New Roman" w:hAnsi="Times New Roman" w:cs="Times New Roman"/>
          <w:sz w:val="24"/>
          <w:szCs w:val="24"/>
        </w:rPr>
        <w:t>.12.201</w:t>
      </w:r>
      <w:r w:rsidR="00682B31">
        <w:rPr>
          <w:rFonts w:ascii="Times New Roman" w:hAnsi="Times New Roman" w:cs="Times New Roman"/>
          <w:sz w:val="24"/>
          <w:szCs w:val="24"/>
        </w:rPr>
        <w:t xml:space="preserve">6, Portaria No. 899 de 08.12.2016 (Retificação), publicada no DOU em 12.12.2016, que prorroga a vigência da restrição de uso por um período de </w:t>
      </w:r>
      <w:r w:rsidR="00682B31" w:rsidRPr="00B61543">
        <w:rPr>
          <w:rFonts w:ascii="Times New Roman" w:hAnsi="Times New Roman" w:cs="Times New Roman"/>
          <w:color w:val="000000"/>
          <w:sz w:val="24"/>
          <w:szCs w:val="24"/>
        </w:rPr>
        <w:t>um ano</w:t>
      </w:r>
      <w:r w:rsidR="00682B31">
        <w:rPr>
          <w:rFonts w:ascii="Times New Roman" w:hAnsi="Times New Roman" w:cs="Times New Roman"/>
          <w:color w:val="000000"/>
          <w:sz w:val="24"/>
          <w:szCs w:val="24"/>
        </w:rPr>
        <w:t xml:space="preserve">; e a </w:t>
      </w:r>
      <w:r w:rsidR="00682B31" w:rsidRPr="00B61543">
        <w:rPr>
          <w:rFonts w:ascii="Times New Roman" w:hAnsi="Times New Roman" w:cs="Times New Roman"/>
          <w:color w:val="000000"/>
          <w:sz w:val="24"/>
          <w:szCs w:val="24"/>
        </w:rPr>
        <w:t>Portaria No. 1.234 de 01.12.2017</w:t>
      </w:r>
      <w:r w:rsidR="008E7B9D">
        <w:rPr>
          <w:rFonts w:ascii="Times New Roman" w:hAnsi="Times New Roman" w:cs="Times New Roman"/>
          <w:color w:val="000000"/>
          <w:sz w:val="24"/>
          <w:szCs w:val="24"/>
        </w:rPr>
        <w:t xml:space="preserve">, </w:t>
      </w:r>
      <w:r w:rsidR="008E7B9D" w:rsidRPr="00B61543">
        <w:rPr>
          <w:rFonts w:ascii="Times New Roman" w:hAnsi="Times New Roman" w:cs="Times New Roman"/>
          <w:sz w:val="24"/>
          <w:szCs w:val="24"/>
        </w:rPr>
        <w:t>publicad</w:t>
      </w:r>
      <w:r w:rsidR="008E7B9D">
        <w:rPr>
          <w:rFonts w:ascii="Times New Roman" w:hAnsi="Times New Roman" w:cs="Times New Roman"/>
          <w:sz w:val="24"/>
          <w:szCs w:val="24"/>
        </w:rPr>
        <w:t>a</w:t>
      </w:r>
      <w:r w:rsidR="008E7B9D" w:rsidRPr="00B61543">
        <w:rPr>
          <w:rFonts w:ascii="Times New Roman" w:hAnsi="Times New Roman" w:cs="Times New Roman"/>
          <w:sz w:val="24"/>
          <w:szCs w:val="24"/>
        </w:rPr>
        <w:t xml:space="preserve"> no DOU em </w:t>
      </w:r>
      <w:r w:rsidR="008E7B9D">
        <w:rPr>
          <w:rFonts w:ascii="Times New Roman" w:hAnsi="Times New Roman" w:cs="Times New Roman"/>
          <w:sz w:val="24"/>
          <w:szCs w:val="24"/>
        </w:rPr>
        <w:t>14</w:t>
      </w:r>
      <w:r w:rsidR="008E7B9D">
        <w:rPr>
          <w:rFonts w:ascii="Times New Roman" w:hAnsi="Times New Roman" w:cs="Times New Roman"/>
          <w:sz w:val="24"/>
          <w:szCs w:val="24"/>
        </w:rPr>
        <w:t>.12.201</w:t>
      </w:r>
      <w:r w:rsidR="008E7B9D">
        <w:rPr>
          <w:rFonts w:ascii="Times New Roman" w:hAnsi="Times New Roman" w:cs="Times New Roman"/>
          <w:sz w:val="24"/>
          <w:szCs w:val="24"/>
        </w:rPr>
        <w:t xml:space="preserve">7, </w:t>
      </w:r>
      <w:r w:rsidR="008E7B9D">
        <w:rPr>
          <w:rFonts w:ascii="Times New Roman" w:hAnsi="Times New Roman" w:cs="Times New Roman"/>
          <w:sz w:val="24"/>
          <w:szCs w:val="24"/>
        </w:rPr>
        <w:t xml:space="preserve">que prorroga a vigência da restrição de uso por um período de </w:t>
      </w:r>
      <w:r w:rsidR="008E7B9D">
        <w:rPr>
          <w:rFonts w:ascii="Times New Roman" w:hAnsi="Times New Roman" w:cs="Times New Roman"/>
          <w:sz w:val="24"/>
          <w:szCs w:val="24"/>
        </w:rPr>
        <w:t>quatro anos.</w:t>
      </w:r>
    </w:p>
    <w:p w14:paraId="5E4B81CE" w14:textId="5C52D3B1" w:rsidR="00D12484" w:rsidRDefault="00D12484" w:rsidP="008E7B9D">
      <w:pPr>
        <w:spacing w:line="360" w:lineRule="auto"/>
        <w:ind w:firstLine="851"/>
        <w:jc w:val="both"/>
        <w:rPr>
          <w:rFonts w:ascii="Times New Roman" w:hAnsi="Times New Roman" w:cs="Times New Roman"/>
          <w:color w:val="000000"/>
          <w:sz w:val="24"/>
          <w:szCs w:val="24"/>
        </w:rPr>
      </w:pPr>
      <w:r>
        <w:rPr>
          <w:rFonts w:ascii="Times New Roman" w:hAnsi="Times New Roman" w:cs="Times New Roman"/>
          <w:sz w:val="24"/>
          <w:szCs w:val="24"/>
          <w:shd w:val="clear" w:color="auto" w:fill="FFFFFF" w:themeFill="background1"/>
        </w:rPr>
        <w:t>A</w:t>
      </w:r>
      <w:r>
        <w:rPr>
          <w:rFonts w:ascii="Times New Roman" w:hAnsi="Times New Roman" w:cs="Times New Roman"/>
          <w:sz w:val="24"/>
          <w:szCs w:val="24"/>
          <w:shd w:val="clear" w:color="auto" w:fill="FFFFFF" w:themeFill="background1"/>
        </w:rPr>
        <w:t xml:space="preserve"> </w:t>
      </w:r>
      <w:r>
        <w:rPr>
          <w:rFonts w:ascii="Times New Roman" w:hAnsi="Times New Roman" w:cs="Times New Roman"/>
          <w:sz w:val="24"/>
          <w:szCs w:val="24"/>
          <w:shd w:val="clear" w:color="auto" w:fill="FFFFFF" w:themeFill="background1"/>
        </w:rPr>
        <w:t xml:space="preserve">TI possui sobreposição quase integral (96% do território) com o </w:t>
      </w:r>
      <w:hyperlink r:id="rId8" w:history="1">
        <w:r w:rsidRPr="0059037A">
          <w:rPr>
            <w:rStyle w:val="Hyperlink"/>
            <w:rFonts w:ascii="Times New Roman" w:hAnsi="Times New Roman" w:cs="Times New Roman"/>
            <w:color w:val="auto"/>
            <w:sz w:val="24"/>
            <w:szCs w:val="24"/>
            <w:u w:val="none"/>
            <w:shd w:val="clear" w:color="auto" w:fill="FFFFFF" w:themeFill="background1"/>
          </w:rPr>
          <w:t>Par</w:t>
        </w:r>
        <w:r>
          <w:rPr>
            <w:rStyle w:val="Hyperlink"/>
            <w:rFonts w:ascii="Times New Roman" w:hAnsi="Times New Roman" w:cs="Times New Roman"/>
            <w:color w:val="auto"/>
            <w:sz w:val="24"/>
            <w:szCs w:val="24"/>
            <w:u w:val="none"/>
            <w:shd w:val="clear" w:color="auto" w:fill="FFFFFF" w:themeFill="background1"/>
          </w:rPr>
          <w:t xml:space="preserve">que Nacional </w:t>
        </w:r>
        <w:r w:rsidRPr="0059037A">
          <w:rPr>
            <w:rStyle w:val="Hyperlink"/>
            <w:rFonts w:ascii="Times New Roman" w:hAnsi="Times New Roman" w:cs="Times New Roman"/>
            <w:color w:val="auto"/>
            <w:sz w:val="24"/>
            <w:szCs w:val="24"/>
            <w:u w:val="none"/>
            <w:shd w:val="clear" w:color="auto" w:fill="FFFFFF" w:themeFill="background1"/>
          </w:rPr>
          <w:t>Mapinguari</w:t>
        </w:r>
      </w:hyperlink>
      <w:r>
        <w:rPr>
          <w:rFonts w:ascii="Times New Roman" w:hAnsi="Times New Roman" w:cs="Times New Roman"/>
          <w:sz w:val="24"/>
          <w:szCs w:val="24"/>
          <w:shd w:val="clear" w:color="auto" w:fill="FFFFFF" w:themeFill="background1"/>
        </w:rPr>
        <w:t>, criado em 2008</w:t>
      </w:r>
      <w:r w:rsidRPr="0059037A">
        <w:rPr>
          <w:rFonts w:ascii="Times New Roman" w:hAnsi="Times New Roman" w:cs="Times New Roman"/>
          <w:sz w:val="24"/>
          <w:szCs w:val="24"/>
          <w:shd w:val="clear" w:color="auto" w:fill="F7F7F7"/>
        </w:rPr>
        <w:t>. </w:t>
      </w:r>
    </w:p>
    <w:p w14:paraId="10200749" w14:textId="77777777" w:rsidR="00A23110" w:rsidRDefault="00A23110" w:rsidP="00C90E6D">
      <w:pPr>
        <w:spacing w:line="360" w:lineRule="auto"/>
        <w:ind w:firstLine="851"/>
        <w:jc w:val="both"/>
        <w:rPr>
          <w:rFonts w:ascii="Times New Roman" w:hAnsi="Times New Roman" w:cs="Times New Roman"/>
          <w:color w:val="000000"/>
          <w:sz w:val="24"/>
          <w:szCs w:val="24"/>
        </w:rPr>
      </w:pPr>
    </w:p>
    <w:p w14:paraId="5981B4FF" w14:textId="61EDBF44" w:rsidR="00C90E6D" w:rsidRDefault="00C90E6D" w:rsidP="00C90E6D">
      <w:pPr>
        <w:spacing w:line="360" w:lineRule="auto"/>
        <w:jc w:val="center"/>
        <w:rPr>
          <w:rFonts w:ascii="Times New Roman" w:hAnsi="Times New Roman" w:cs="Times New Roman"/>
          <w:color w:val="000000"/>
          <w:sz w:val="24"/>
          <w:szCs w:val="24"/>
        </w:rPr>
      </w:pPr>
      <w:r>
        <w:rPr>
          <w:noProof/>
        </w:rPr>
        <w:drawing>
          <wp:inline distT="0" distB="0" distL="0" distR="0" wp14:anchorId="5D748F1F" wp14:editId="79703D54">
            <wp:extent cx="5731510" cy="4052570"/>
            <wp:effectExtent l="0" t="0" r="2540" b="5080"/>
            <wp:docPr id="8" name="Imagem 8" descr="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descr="Mapa&#10;&#10;Descrição gerada automa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4052570"/>
                    </a:xfrm>
                    <a:prstGeom prst="rect">
                      <a:avLst/>
                    </a:prstGeom>
                    <a:noFill/>
                    <a:ln>
                      <a:noFill/>
                    </a:ln>
                  </pic:spPr>
                </pic:pic>
              </a:graphicData>
            </a:graphic>
          </wp:inline>
        </w:drawing>
      </w:r>
    </w:p>
    <w:p w14:paraId="78CF885D" w14:textId="652380A7" w:rsidR="00C90E6D" w:rsidRPr="00A52962" w:rsidRDefault="00C90E6D" w:rsidP="00A52962">
      <w:pPr>
        <w:spacing w:line="240" w:lineRule="auto"/>
        <w:jc w:val="center"/>
        <w:rPr>
          <w:rFonts w:ascii="Times New Roman" w:hAnsi="Times New Roman" w:cs="Times New Roman"/>
          <w:color w:val="000000"/>
        </w:rPr>
      </w:pPr>
      <w:r w:rsidRPr="00A52962">
        <w:rPr>
          <w:rFonts w:ascii="Times New Roman" w:hAnsi="Times New Roman" w:cs="Times New Roman"/>
          <w:color w:val="000000"/>
        </w:rPr>
        <w:t>Figura 1. Localização das Terra Indígenas que possuem Portarias de Restrição de Uso próximas de expirar. A TI Piripkura teve sua Portaria renovada em setembro de 2021, porém por um período reduzido de apenas 6 meses.</w:t>
      </w:r>
      <w:r w:rsidR="00A52962" w:rsidRPr="00A52962">
        <w:rPr>
          <w:rFonts w:ascii="Times New Roman" w:hAnsi="Times New Roman" w:cs="Times New Roman"/>
          <w:color w:val="000000"/>
        </w:rPr>
        <w:t xml:space="preserve"> Fonte: ISA.</w:t>
      </w:r>
    </w:p>
    <w:p w14:paraId="75675BA4" w14:textId="77777777" w:rsidR="00C90E6D" w:rsidRPr="004038C6" w:rsidRDefault="00C90E6D" w:rsidP="00DA123E">
      <w:pPr>
        <w:spacing w:line="360" w:lineRule="auto"/>
        <w:ind w:firstLine="851"/>
        <w:jc w:val="both"/>
        <w:rPr>
          <w:rFonts w:ascii="Times New Roman" w:hAnsi="Times New Roman" w:cs="Times New Roman"/>
          <w:sz w:val="24"/>
          <w:szCs w:val="24"/>
        </w:rPr>
      </w:pPr>
    </w:p>
    <w:p w14:paraId="387D41E7" w14:textId="044879A6" w:rsidR="005157F9" w:rsidRDefault="005157F9" w:rsidP="005157F9">
      <w:pPr>
        <w:spacing w:line="360" w:lineRule="auto"/>
        <w:ind w:firstLine="851"/>
        <w:jc w:val="both"/>
        <w:rPr>
          <w:rFonts w:ascii="Times New Roman" w:hAnsi="Times New Roman" w:cs="Times New Roman"/>
          <w:color w:val="000000"/>
          <w:sz w:val="24"/>
          <w:szCs w:val="24"/>
        </w:rPr>
      </w:pPr>
      <w:r w:rsidRPr="00317CD7">
        <w:rPr>
          <w:rFonts w:ascii="Times New Roman" w:hAnsi="Times New Roman" w:cs="Times New Roman"/>
          <w:color w:val="000000"/>
          <w:sz w:val="24"/>
          <w:szCs w:val="24"/>
        </w:rPr>
        <w:t xml:space="preserve">Além disso, </w:t>
      </w:r>
      <w:r>
        <w:rPr>
          <w:rFonts w:ascii="Times New Roman" w:hAnsi="Times New Roman" w:cs="Times New Roman"/>
          <w:color w:val="000000"/>
          <w:sz w:val="24"/>
          <w:szCs w:val="24"/>
        </w:rPr>
        <w:t xml:space="preserve">as Portarias expedidas pela Funai </w:t>
      </w:r>
      <w:r w:rsidRPr="00317CD7">
        <w:rPr>
          <w:rFonts w:ascii="Times New Roman" w:hAnsi="Times New Roman" w:cs="Times New Roman"/>
          <w:color w:val="000000"/>
          <w:sz w:val="24"/>
          <w:szCs w:val="24"/>
        </w:rPr>
        <w:t>ved</w:t>
      </w:r>
      <w:r>
        <w:rPr>
          <w:rFonts w:ascii="Times New Roman" w:hAnsi="Times New Roman" w:cs="Times New Roman"/>
          <w:color w:val="000000"/>
          <w:sz w:val="24"/>
          <w:szCs w:val="24"/>
        </w:rPr>
        <w:t xml:space="preserve">aram </w:t>
      </w:r>
      <w:r w:rsidRPr="00317CD7">
        <w:rPr>
          <w:rFonts w:ascii="Times New Roman" w:hAnsi="Times New Roman" w:cs="Times New Roman"/>
          <w:color w:val="000000"/>
          <w:sz w:val="24"/>
          <w:szCs w:val="24"/>
        </w:rPr>
        <w:t xml:space="preserve">a exploração de qualquer recurso natural existente nos </w:t>
      </w:r>
      <w:r w:rsidRPr="00B61543">
        <w:rPr>
          <w:rFonts w:ascii="Times New Roman" w:hAnsi="Times New Roman" w:cs="Times New Roman"/>
          <w:sz w:val="24"/>
          <w:szCs w:val="24"/>
          <w:shd w:val="clear" w:color="auto" w:fill="FFFFFF"/>
        </w:rPr>
        <w:t xml:space="preserve">647.386 </w:t>
      </w:r>
      <w:r w:rsidRPr="00317CD7">
        <w:rPr>
          <w:rFonts w:ascii="Times New Roman" w:hAnsi="Times New Roman" w:cs="Times New Roman"/>
          <w:color w:val="000000"/>
          <w:sz w:val="24"/>
          <w:szCs w:val="24"/>
        </w:rPr>
        <w:t xml:space="preserve">hectares da TI </w:t>
      </w:r>
      <w:r>
        <w:rPr>
          <w:rFonts w:ascii="Times New Roman" w:hAnsi="Times New Roman" w:cs="Times New Roman"/>
          <w:color w:val="000000"/>
          <w:sz w:val="24"/>
          <w:szCs w:val="24"/>
        </w:rPr>
        <w:t>Jacareúba-Katawixi</w:t>
      </w:r>
      <w:r w:rsidRPr="00317CD7">
        <w:rPr>
          <w:rFonts w:ascii="Times New Roman" w:hAnsi="Times New Roman" w:cs="Times New Roman"/>
          <w:color w:val="000000"/>
          <w:sz w:val="24"/>
          <w:szCs w:val="24"/>
        </w:rPr>
        <w:t xml:space="preserve">. </w:t>
      </w:r>
      <w:r>
        <w:rPr>
          <w:rFonts w:ascii="Times New Roman" w:hAnsi="Times New Roman" w:cs="Times New Roman"/>
          <w:color w:val="000000"/>
          <w:sz w:val="24"/>
          <w:szCs w:val="24"/>
        </w:rPr>
        <w:t>Os dados oficiais do PRODES/INPE</w:t>
      </w:r>
      <w:r>
        <w:rPr>
          <w:rStyle w:val="Refdenotaderodap"/>
          <w:rFonts w:ascii="Times New Roman" w:hAnsi="Times New Roman" w:cs="Times New Roman"/>
          <w:color w:val="000000"/>
          <w:sz w:val="24"/>
          <w:szCs w:val="24"/>
        </w:rPr>
        <w:footnoteReference w:id="8"/>
      </w:r>
      <w:r>
        <w:rPr>
          <w:rFonts w:ascii="Times New Roman" w:hAnsi="Times New Roman" w:cs="Times New Roman"/>
          <w:color w:val="000000"/>
          <w:sz w:val="24"/>
          <w:szCs w:val="24"/>
        </w:rPr>
        <w:t xml:space="preserve"> mostram que até </w:t>
      </w:r>
      <w:r w:rsidR="00A23110">
        <w:rPr>
          <w:rFonts w:ascii="Times New Roman" w:hAnsi="Times New Roman" w:cs="Times New Roman"/>
          <w:color w:val="000000"/>
          <w:sz w:val="24"/>
          <w:szCs w:val="24"/>
        </w:rPr>
        <w:t>julho de 2020 já foram desmatados 5.874,4 hectares no interior da TI, o que corresponde a 3,3 milhões de árvores derrubadas.</w:t>
      </w:r>
    </w:p>
    <w:p w14:paraId="28ACF273" w14:textId="40411C14" w:rsidR="002E7B75" w:rsidRDefault="002E7B75" w:rsidP="0053399E">
      <w:pPr>
        <w:pStyle w:val="Default"/>
        <w:spacing w:line="360" w:lineRule="auto"/>
        <w:ind w:firstLine="851"/>
        <w:jc w:val="both"/>
        <w:rPr>
          <w:rFonts w:ascii="Times New Roman" w:eastAsia="Times New Roman" w:hAnsi="Times New Roman" w:cs="Times New Roman"/>
        </w:rPr>
      </w:pPr>
      <w:r>
        <w:rPr>
          <w:rFonts w:ascii="Times New Roman" w:eastAsia="Times New Roman" w:hAnsi="Times New Roman" w:cs="Times New Roman"/>
        </w:rPr>
        <w:t xml:space="preserve">A Figura </w:t>
      </w:r>
      <w:r w:rsidR="005157F9">
        <w:rPr>
          <w:rFonts w:ascii="Times New Roman" w:eastAsia="Times New Roman" w:hAnsi="Times New Roman" w:cs="Times New Roman"/>
        </w:rPr>
        <w:t>2</w:t>
      </w:r>
      <w:r>
        <w:rPr>
          <w:rFonts w:ascii="Times New Roman" w:eastAsia="Times New Roman" w:hAnsi="Times New Roman" w:cs="Times New Roman"/>
        </w:rPr>
        <w:t xml:space="preserve"> abaixo mostra como os períodos que antecedem o término de vigência</w:t>
      </w:r>
      <w:r w:rsidR="005157F9">
        <w:rPr>
          <w:rFonts w:ascii="Times New Roman" w:eastAsia="Times New Roman" w:hAnsi="Times New Roman" w:cs="Times New Roman"/>
        </w:rPr>
        <w:t>/renovação</w:t>
      </w:r>
      <w:r>
        <w:rPr>
          <w:rFonts w:ascii="Times New Roman" w:eastAsia="Times New Roman" w:hAnsi="Times New Roman" w:cs="Times New Roman"/>
        </w:rPr>
        <w:t xml:space="preserve"> das Portarias de Restrição de Uso apresentam </w:t>
      </w:r>
      <w:r w:rsidR="005157F9">
        <w:rPr>
          <w:rFonts w:ascii="Times New Roman" w:eastAsia="Times New Roman" w:hAnsi="Times New Roman" w:cs="Times New Roman"/>
        </w:rPr>
        <w:t>registros de desmatamento,</w:t>
      </w:r>
      <w:r>
        <w:rPr>
          <w:rFonts w:ascii="Times New Roman" w:eastAsia="Times New Roman" w:hAnsi="Times New Roman" w:cs="Times New Roman"/>
        </w:rPr>
        <w:t xml:space="preserve"> fruto da </w:t>
      </w:r>
      <w:r w:rsidR="005157F9">
        <w:rPr>
          <w:rFonts w:ascii="Times New Roman" w:eastAsia="Times New Roman" w:hAnsi="Times New Roman" w:cs="Times New Roman"/>
        </w:rPr>
        <w:t xml:space="preserve">ausência de operações de fiscalização, bem como da </w:t>
      </w:r>
      <w:r w:rsidRPr="00317CD7">
        <w:rPr>
          <w:rFonts w:ascii="Times New Roman" w:hAnsi="Times New Roman" w:cs="Times New Roman"/>
        </w:rPr>
        <w:t>expectativa e especulaç</w:t>
      </w:r>
      <w:r w:rsidR="005157F9">
        <w:rPr>
          <w:rFonts w:ascii="Times New Roman" w:hAnsi="Times New Roman" w:cs="Times New Roman"/>
        </w:rPr>
        <w:t xml:space="preserve">ão </w:t>
      </w:r>
      <w:r>
        <w:rPr>
          <w:rFonts w:ascii="Times New Roman" w:hAnsi="Times New Roman" w:cs="Times New Roman"/>
        </w:rPr>
        <w:t xml:space="preserve">dos invasores </w:t>
      </w:r>
      <w:r w:rsidRPr="00317CD7">
        <w:rPr>
          <w:rFonts w:ascii="Times New Roman" w:hAnsi="Times New Roman" w:cs="Times New Roman"/>
        </w:rPr>
        <w:t>sobre a não renovação</w:t>
      </w:r>
      <w:r>
        <w:rPr>
          <w:rFonts w:ascii="Times New Roman" w:hAnsi="Times New Roman" w:cs="Times New Roman"/>
        </w:rPr>
        <w:t xml:space="preserve"> das Portarias.</w:t>
      </w:r>
    </w:p>
    <w:p w14:paraId="596DB1C5" w14:textId="6049A67C" w:rsidR="002E7B75" w:rsidRDefault="002E7B75" w:rsidP="002E7B75">
      <w:pPr>
        <w:pStyle w:val="Default"/>
        <w:spacing w:line="360" w:lineRule="auto"/>
        <w:jc w:val="both"/>
        <w:rPr>
          <w:rFonts w:ascii="Times New Roman" w:eastAsia="Times New Roman" w:hAnsi="Times New Roman" w:cs="Times New Roman"/>
        </w:rPr>
      </w:pPr>
    </w:p>
    <w:p w14:paraId="0484CDAC" w14:textId="147CDCF0" w:rsidR="002E7B75" w:rsidRDefault="005157F9" w:rsidP="002E7B75">
      <w:pPr>
        <w:pStyle w:val="Default"/>
        <w:spacing w:line="360" w:lineRule="auto"/>
        <w:jc w:val="center"/>
        <w:rPr>
          <w:rFonts w:ascii="Times New Roman" w:eastAsia="Times New Roman" w:hAnsi="Times New Roman" w:cs="Times New Roman"/>
        </w:rPr>
      </w:pPr>
      <w:r>
        <w:rPr>
          <w:noProof/>
        </w:rPr>
        <w:drawing>
          <wp:inline distT="0" distB="0" distL="0" distR="0" wp14:anchorId="538C64E6" wp14:editId="2FC8A4D9">
            <wp:extent cx="5731510" cy="4047490"/>
            <wp:effectExtent l="0" t="0" r="2540" b="0"/>
            <wp:docPr id="11" name="Imagem 11" descr="Gráfico, Gráfico de linh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descr="Gráfico, Gráfico de linhas&#10;&#10;Descrição gerada automaticamen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4047490"/>
                    </a:xfrm>
                    <a:prstGeom prst="rect">
                      <a:avLst/>
                    </a:prstGeom>
                    <a:noFill/>
                    <a:ln>
                      <a:noFill/>
                    </a:ln>
                  </pic:spPr>
                </pic:pic>
              </a:graphicData>
            </a:graphic>
          </wp:inline>
        </w:drawing>
      </w:r>
    </w:p>
    <w:p w14:paraId="4AEB4B96" w14:textId="5EB099AD" w:rsidR="002E7B75" w:rsidRPr="00642FFC" w:rsidRDefault="002E7B75" w:rsidP="002E7B75">
      <w:pPr>
        <w:pStyle w:val="Default"/>
        <w:jc w:val="center"/>
        <w:rPr>
          <w:rFonts w:ascii="Times New Roman" w:eastAsia="Times New Roman" w:hAnsi="Times New Roman" w:cs="Times New Roman"/>
          <w:sz w:val="22"/>
          <w:szCs w:val="22"/>
        </w:rPr>
      </w:pPr>
      <w:r w:rsidRPr="002E7B75">
        <w:rPr>
          <w:rFonts w:ascii="Times New Roman" w:eastAsia="Times New Roman" w:hAnsi="Times New Roman" w:cs="Times New Roman"/>
          <w:sz w:val="22"/>
          <w:szCs w:val="22"/>
        </w:rPr>
        <w:t xml:space="preserve">Figura </w:t>
      </w:r>
      <w:r w:rsidR="00EC24AD">
        <w:rPr>
          <w:rFonts w:ascii="Times New Roman" w:eastAsia="Times New Roman" w:hAnsi="Times New Roman" w:cs="Times New Roman"/>
          <w:sz w:val="22"/>
          <w:szCs w:val="22"/>
        </w:rPr>
        <w:t>2</w:t>
      </w:r>
      <w:r w:rsidRPr="002E7B75">
        <w:rPr>
          <w:rFonts w:ascii="Times New Roman" w:eastAsia="Times New Roman" w:hAnsi="Times New Roman" w:cs="Times New Roman"/>
          <w:sz w:val="22"/>
          <w:szCs w:val="22"/>
        </w:rPr>
        <w:t xml:space="preserve">. Desmatamento na TI </w:t>
      </w:r>
      <w:r w:rsidR="005157F9">
        <w:rPr>
          <w:rFonts w:ascii="Times New Roman" w:eastAsia="Times New Roman" w:hAnsi="Times New Roman" w:cs="Times New Roman"/>
          <w:sz w:val="22"/>
          <w:szCs w:val="22"/>
        </w:rPr>
        <w:t xml:space="preserve">Jacareúba-Katawixi </w:t>
      </w:r>
      <w:r w:rsidRPr="002E7B75">
        <w:rPr>
          <w:rFonts w:ascii="Times New Roman" w:eastAsia="Times New Roman" w:hAnsi="Times New Roman" w:cs="Times New Roman"/>
          <w:sz w:val="22"/>
          <w:szCs w:val="22"/>
        </w:rPr>
        <w:t>entre 2008 a 202</w:t>
      </w:r>
      <w:r w:rsidR="005157F9">
        <w:rPr>
          <w:rFonts w:ascii="Times New Roman" w:eastAsia="Times New Roman" w:hAnsi="Times New Roman" w:cs="Times New Roman"/>
          <w:sz w:val="22"/>
          <w:szCs w:val="22"/>
        </w:rPr>
        <w:t>0</w:t>
      </w:r>
      <w:r w:rsidRPr="002E7B75">
        <w:rPr>
          <w:rFonts w:ascii="Times New Roman" w:eastAsia="Times New Roman" w:hAnsi="Times New Roman" w:cs="Times New Roman"/>
          <w:sz w:val="22"/>
          <w:szCs w:val="22"/>
        </w:rPr>
        <w:t>. As setas em vermelho indicam o ano de término de vigência</w:t>
      </w:r>
      <w:r w:rsidR="005157F9">
        <w:rPr>
          <w:rFonts w:ascii="Times New Roman" w:eastAsia="Times New Roman" w:hAnsi="Times New Roman" w:cs="Times New Roman"/>
          <w:sz w:val="22"/>
          <w:szCs w:val="22"/>
        </w:rPr>
        <w:t>/renovação</w:t>
      </w:r>
      <w:r w:rsidRPr="002E7B75">
        <w:rPr>
          <w:rFonts w:ascii="Times New Roman" w:eastAsia="Times New Roman" w:hAnsi="Times New Roman" w:cs="Times New Roman"/>
          <w:sz w:val="22"/>
          <w:szCs w:val="22"/>
        </w:rPr>
        <w:t xml:space="preserve"> das Portarias de Restrição de Uso. Fonte: PRODES/INPE.</w:t>
      </w:r>
    </w:p>
    <w:p w14:paraId="0BE661EF" w14:textId="08E3315F" w:rsidR="00317CD7" w:rsidRDefault="00317CD7" w:rsidP="00DC71F1">
      <w:pPr>
        <w:pStyle w:val="Default"/>
        <w:spacing w:line="360" w:lineRule="auto"/>
        <w:ind w:firstLine="851"/>
        <w:jc w:val="both"/>
        <w:rPr>
          <w:rFonts w:ascii="Times New Roman" w:hAnsi="Times New Roman" w:cs="Times New Roman"/>
        </w:rPr>
      </w:pPr>
      <w:r w:rsidRPr="00317CD7">
        <w:rPr>
          <w:rFonts w:ascii="Times New Roman" w:hAnsi="Times New Roman" w:cs="Times New Roman"/>
        </w:rPr>
        <w:t xml:space="preserve"> </w:t>
      </w:r>
    </w:p>
    <w:p w14:paraId="7BB3B5FD" w14:textId="73BA04A1" w:rsidR="000C7407" w:rsidRDefault="000C7407" w:rsidP="00DC71F1">
      <w:pPr>
        <w:pStyle w:val="Default"/>
        <w:spacing w:line="360" w:lineRule="auto"/>
        <w:ind w:firstLine="851"/>
        <w:jc w:val="both"/>
        <w:rPr>
          <w:rFonts w:ascii="Times New Roman" w:hAnsi="Times New Roman" w:cs="Times New Roman"/>
        </w:rPr>
      </w:pPr>
      <w:r>
        <w:rPr>
          <w:rFonts w:ascii="Times New Roman" w:hAnsi="Times New Roman" w:cs="Times New Roman"/>
        </w:rPr>
        <w:t xml:space="preserve">O grupo isolado na TI </w:t>
      </w:r>
      <w:r w:rsidR="002E7D44">
        <w:rPr>
          <w:rFonts w:ascii="Times New Roman" w:hAnsi="Times New Roman" w:cs="Times New Roman"/>
        </w:rPr>
        <w:t>Jacareúba-Katawixi</w:t>
      </w:r>
      <w:r w:rsidR="002E7D44">
        <w:rPr>
          <w:rFonts w:ascii="Times New Roman" w:hAnsi="Times New Roman" w:cs="Times New Roman"/>
        </w:rPr>
        <w:t xml:space="preserve"> ocupa uma área restrita do território, que compreende florestas e castanhais. De acordo com as expedições de indigenistas da Funai, cerca de 20% da TI é coberta por matas e castanhais utilizados pelos indígenas isolados. O restante da TI é coberta de campos com disponibilidade limitada de recursos naturais. A porção de mapas e castanhais do interior da TI também é utilizada por populações tradicionais – castanheiros – que acessam o interior da TI para exploração de recursos naturais, bem como por fazendeiros que derrubam a floresta para conversão de pastagens.</w:t>
      </w:r>
    </w:p>
    <w:p w14:paraId="4513FC15" w14:textId="3077B6FC" w:rsidR="00A301ED" w:rsidRDefault="00A23110" w:rsidP="00DC71F1">
      <w:pPr>
        <w:pStyle w:val="Default"/>
        <w:spacing w:line="360" w:lineRule="auto"/>
        <w:ind w:firstLine="851"/>
        <w:jc w:val="both"/>
        <w:rPr>
          <w:rFonts w:ascii="Times New Roman" w:hAnsi="Times New Roman" w:cs="Times New Roman"/>
        </w:rPr>
      </w:pPr>
      <w:r w:rsidRPr="00AC3F5C">
        <w:rPr>
          <w:rFonts w:ascii="Times New Roman" w:hAnsi="Times New Roman" w:cs="Times New Roman"/>
        </w:rPr>
        <w:t>A análise de imóveis rurais cadastrados no Sistema de Cadastro Ambiental Rural (SICAR)</w:t>
      </w:r>
      <w:r w:rsidR="00A301ED">
        <w:rPr>
          <w:rFonts w:ascii="Times New Roman" w:hAnsi="Times New Roman" w:cs="Times New Roman"/>
        </w:rPr>
        <w:t xml:space="preserve"> do Serviço Florestal Brasileiro</w:t>
      </w:r>
      <w:r w:rsidRPr="00AC3F5C">
        <w:rPr>
          <w:rFonts w:ascii="Times New Roman" w:hAnsi="Times New Roman" w:cs="Times New Roman"/>
        </w:rPr>
        <w:t xml:space="preserve"> sobrepostos à TI </w:t>
      </w:r>
      <w:r w:rsidR="00A301ED">
        <w:rPr>
          <w:rFonts w:ascii="Times New Roman" w:hAnsi="Times New Roman" w:cs="Times New Roman"/>
        </w:rPr>
        <w:t>Jacareúba-Katawixi</w:t>
      </w:r>
      <w:r w:rsidRPr="00AC3F5C">
        <w:rPr>
          <w:rFonts w:ascii="Times New Roman" w:hAnsi="Times New Roman" w:cs="Times New Roman"/>
        </w:rPr>
        <w:t xml:space="preserve">, mostra a existência de </w:t>
      </w:r>
      <w:r w:rsidR="00A301ED">
        <w:rPr>
          <w:rFonts w:ascii="Times New Roman" w:hAnsi="Times New Roman" w:cs="Times New Roman"/>
        </w:rPr>
        <w:t xml:space="preserve">639 registros irregulares, que totalizam mais de 60 mil hectares (60.856,4 ha) </w:t>
      </w:r>
      <w:r w:rsidRPr="00AC3F5C">
        <w:rPr>
          <w:rFonts w:ascii="Times New Roman" w:hAnsi="Times New Roman" w:cs="Times New Roman"/>
        </w:rPr>
        <w:t>sobrepostos com os limites da TI</w:t>
      </w:r>
      <w:r w:rsidR="00A301ED">
        <w:rPr>
          <w:rFonts w:ascii="Times New Roman" w:hAnsi="Times New Roman" w:cs="Times New Roman"/>
        </w:rPr>
        <w:t xml:space="preserve"> (ou 9,4% da área total da TI). Estes dados de ocupação irregular do </w:t>
      </w:r>
      <w:r w:rsidR="00AC3F5C" w:rsidRPr="00AC3F5C">
        <w:rPr>
          <w:rFonts w:ascii="Times New Roman" w:hAnsi="Times New Roman" w:cs="Times New Roman"/>
        </w:rPr>
        <w:t>CAR demonstram que a TI está sob pressão</w:t>
      </w:r>
      <w:r w:rsidR="00A301ED">
        <w:rPr>
          <w:rFonts w:ascii="Times New Roman" w:hAnsi="Times New Roman" w:cs="Times New Roman"/>
        </w:rPr>
        <w:t xml:space="preserve"> </w:t>
      </w:r>
      <w:r w:rsidR="00AC3F5C" w:rsidRPr="00AC3F5C">
        <w:rPr>
          <w:rFonts w:ascii="Times New Roman" w:hAnsi="Times New Roman" w:cs="Times New Roman"/>
        </w:rPr>
        <w:t>com a finalidade de apropriação fundiária</w:t>
      </w:r>
      <w:r w:rsidR="00A301ED">
        <w:rPr>
          <w:rFonts w:ascii="Times New Roman" w:hAnsi="Times New Roman" w:cs="Times New Roman"/>
        </w:rPr>
        <w:t xml:space="preserve"> irregular. </w:t>
      </w:r>
    </w:p>
    <w:p w14:paraId="50ECF31F" w14:textId="0FB0B35F" w:rsidR="00A301ED" w:rsidRDefault="00A301ED" w:rsidP="00DC71F1">
      <w:pPr>
        <w:pStyle w:val="Default"/>
        <w:spacing w:line="360" w:lineRule="auto"/>
        <w:ind w:firstLine="851"/>
        <w:jc w:val="both"/>
        <w:rPr>
          <w:rFonts w:ascii="Times New Roman" w:hAnsi="Times New Roman" w:cs="Times New Roman"/>
        </w:rPr>
      </w:pPr>
      <w:r>
        <w:rPr>
          <w:rFonts w:ascii="Times New Roman" w:hAnsi="Times New Roman" w:cs="Times New Roman"/>
        </w:rPr>
        <w:t>Ainda, a TI sofre pressão de processos minerários cadastrados na Agência Nacional de Mineração</w:t>
      </w:r>
      <w:r w:rsidR="0092553D">
        <w:rPr>
          <w:rFonts w:ascii="Times New Roman" w:hAnsi="Times New Roman" w:cs="Times New Roman"/>
        </w:rPr>
        <w:t xml:space="preserve">, onde um processo ativo (requerimento de pesquisa de ouro) em nome de </w:t>
      </w:r>
      <w:r w:rsidR="0092553D" w:rsidRPr="0092553D">
        <w:rPr>
          <w:rFonts w:ascii="Times New Roman" w:hAnsi="Times New Roman" w:cs="Times New Roman"/>
        </w:rPr>
        <w:t xml:space="preserve">Catianne Alves </w:t>
      </w:r>
      <w:r w:rsidR="0092553D">
        <w:rPr>
          <w:rFonts w:ascii="Times New Roman" w:hAnsi="Times New Roman" w:cs="Times New Roman"/>
        </w:rPr>
        <w:t>d</w:t>
      </w:r>
      <w:r w:rsidR="0092553D" w:rsidRPr="0092553D">
        <w:rPr>
          <w:rFonts w:ascii="Times New Roman" w:hAnsi="Times New Roman" w:cs="Times New Roman"/>
        </w:rPr>
        <w:t>e Souza</w:t>
      </w:r>
      <w:r w:rsidR="0092553D" w:rsidRPr="0092553D">
        <w:rPr>
          <w:rFonts w:ascii="Times New Roman" w:hAnsi="Times New Roman" w:cs="Times New Roman"/>
        </w:rPr>
        <w:t xml:space="preserve"> </w:t>
      </w:r>
      <w:r w:rsidR="0092553D">
        <w:rPr>
          <w:rFonts w:ascii="Times New Roman" w:hAnsi="Times New Roman" w:cs="Times New Roman"/>
        </w:rPr>
        <w:t>ameaça 1.244 hectares da TI.</w:t>
      </w:r>
    </w:p>
    <w:p w14:paraId="00D6A571" w14:textId="28933ABC" w:rsidR="0092553D" w:rsidRDefault="00B007B0" w:rsidP="0092553D">
      <w:pPr>
        <w:spacing w:line="360" w:lineRule="auto"/>
        <w:ind w:firstLine="851"/>
        <w:jc w:val="both"/>
        <w:rPr>
          <w:rFonts w:ascii="Times New Roman" w:hAnsi="Times New Roman" w:cs="Times New Roman"/>
          <w:color w:val="000000"/>
          <w:sz w:val="24"/>
          <w:szCs w:val="24"/>
        </w:rPr>
      </w:pPr>
      <w:r>
        <w:rPr>
          <w:rFonts w:ascii="Times New Roman" w:hAnsi="Times New Roman" w:cs="Times New Roman"/>
          <w:sz w:val="24"/>
          <w:szCs w:val="24"/>
          <w:shd w:val="clear" w:color="auto" w:fill="FFFFFF" w:themeFill="background1"/>
        </w:rPr>
        <w:t xml:space="preserve">A </w:t>
      </w:r>
      <w:hyperlink r:id="rId11" w:history="1">
        <w:r>
          <w:rPr>
            <w:rStyle w:val="Hyperlink"/>
            <w:rFonts w:ascii="Times New Roman" w:hAnsi="Times New Roman" w:cs="Times New Roman"/>
            <w:color w:val="auto"/>
            <w:sz w:val="24"/>
            <w:szCs w:val="24"/>
            <w:u w:val="none"/>
            <w:shd w:val="clear" w:color="auto" w:fill="FFFFFF" w:themeFill="background1"/>
          </w:rPr>
          <w:t>á</w:t>
        </w:r>
        <w:r w:rsidRPr="0059037A">
          <w:rPr>
            <w:rStyle w:val="Hyperlink"/>
            <w:rFonts w:ascii="Times New Roman" w:hAnsi="Times New Roman" w:cs="Times New Roman"/>
            <w:color w:val="auto"/>
            <w:sz w:val="24"/>
            <w:szCs w:val="24"/>
            <w:u w:val="none"/>
            <w:shd w:val="clear" w:color="auto" w:fill="FFFFFF" w:themeFill="background1"/>
          </w:rPr>
          <w:t xml:space="preserve">rea de </w:t>
        </w:r>
        <w:r>
          <w:rPr>
            <w:rStyle w:val="Hyperlink"/>
            <w:rFonts w:ascii="Times New Roman" w:hAnsi="Times New Roman" w:cs="Times New Roman"/>
            <w:color w:val="auto"/>
            <w:sz w:val="24"/>
            <w:szCs w:val="24"/>
            <w:u w:val="none"/>
            <w:shd w:val="clear" w:color="auto" w:fill="FFFFFF" w:themeFill="background1"/>
          </w:rPr>
          <w:t>r</w:t>
        </w:r>
        <w:r w:rsidRPr="0059037A">
          <w:rPr>
            <w:rStyle w:val="Hyperlink"/>
            <w:rFonts w:ascii="Times New Roman" w:hAnsi="Times New Roman" w:cs="Times New Roman"/>
            <w:color w:val="auto"/>
            <w:sz w:val="24"/>
            <w:szCs w:val="24"/>
            <w:u w:val="none"/>
            <w:shd w:val="clear" w:color="auto" w:fill="FFFFFF" w:themeFill="background1"/>
          </w:rPr>
          <w:t xml:space="preserve">estrição de </w:t>
        </w:r>
        <w:r>
          <w:rPr>
            <w:rStyle w:val="Hyperlink"/>
            <w:rFonts w:ascii="Times New Roman" w:hAnsi="Times New Roman" w:cs="Times New Roman"/>
            <w:color w:val="auto"/>
            <w:sz w:val="24"/>
            <w:szCs w:val="24"/>
            <w:u w:val="none"/>
            <w:shd w:val="clear" w:color="auto" w:fill="FFFFFF" w:themeFill="background1"/>
          </w:rPr>
          <w:t>u</w:t>
        </w:r>
        <w:r w:rsidRPr="0059037A">
          <w:rPr>
            <w:rStyle w:val="Hyperlink"/>
            <w:rFonts w:ascii="Times New Roman" w:hAnsi="Times New Roman" w:cs="Times New Roman"/>
            <w:color w:val="auto"/>
            <w:sz w:val="24"/>
            <w:szCs w:val="24"/>
            <w:u w:val="none"/>
            <w:shd w:val="clear" w:color="auto" w:fill="FFFFFF" w:themeFill="background1"/>
          </w:rPr>
          <w:t xml:space="preserve">so </w:t>
        </w:r>
        <w:r>
          <w:rPr>
            <w:rStyle w:val="Hyperlink"/>
            <w:rFonts w:ascii="Times New Roman" w:hAnsi="Times New Roman" w:cs="Times New Roman"/>
            <w:color w:val="auto"/>
            <w:sz w:val="24"/>
            <w:szCs w:val="24"/>
            <w:u w:val="none"/>
            <w:shd w:val="clear" w:color="auto" w:fill="FFFFFF" w:themeFill="background1"/>
          </w:rPr>
          <w:t xml:space="preserve">do TI </w:t>
        </w:r>
        <w:r w:rsidRPr="0059037A">
          <w:rPr>
            <w:rStyle w:val="Hyperlink"/>
            <w:rFonts w:ascii="Times New Roman" w:hAnsi="Times New Roman" w:cs="Times New Roman"/>
            <w:color w:val="auto"/>
            <w:sz w:val="24"/>
            <w:szCs w:val="24"/>
            <w:u w:val="none"/>
            <w:shd w:val="clear" w:color="auto" w:fill="FFFFFF" w:themeFill="background1"/>
          </w:rPr>
          <w:t>Jacareúba</w:t>
        </w:r>
        <w:r>
          <w:rPr>
            <w:rStyle w:val="Hyperlink"/>
            <w:rFonts w:ascii="Times New Roman" w:hAnsi="Times New Roman" w:cs="Times New Roman"/>
            <w:color w:val="auto"/>
            <w:sz w:val="24"/>
            <w:szCs w:val="24"/>
            <w:u w:val="none"/>
            <w:shd w:val="clear" w:color="auto" w:fill="FFFFFF" w:themeFill="background1"/>
          </w:rPr>
          <w:t>-</w:t>
        </w:r>
        <w:r w:rsidRPr="0059037A">
          <w:rPr>
            <w:rStyle w:val="Hyperlink"/>
            <w:rFonts w:ascii="Times New Roman" w:hAnsi="Times New Roman" w:cs="Times New Roman"/>
            <w:color w:val="auto"/>
            <w:sz w:val="24"/>
            <w:szCs w:val="24"/>
            <w:u w:val="none"/>
            <w:shd w:val="clear" w:color="auto" w:fill="FFFFFF" w:themeFill="background1"/>
          </w:rPr>
          <w:t>Katawixi</w:t>
        </w:r>
      </w:hyperlink>
      <w:r w:rsidRPr="0059037A">
        <w:rPr>
          <w:rFonts w:ascii="Times New Roman" w:hAnsi="Times New Roman" w:cs="Times New Roman"/>
          <w:sz w:val="24"/>
          <w:szCs w:val="24"/>
          <w:shd w:val="clear" w:color="auto" w:fill="FFFFFF" w:themeFill="background1"/>
        </w:rPr>
        <w:t> </w:t>
      </w:r>
      <w:r>
        <w:rPr>
          <w:rFonts w:ascii="Times New Roman" w:hAnsi="Times New Roman" w:cs="Times New Roman"/>
          <w:sz w:val="24"/>
          <w:szCs w:val="24"/>
          <w:shd w:val="clear" w:color="auto" w:fill="FFFFFF" w:themeFill="background1"/>
        </w:rPr>
        <w:t xml:space="preserve">está localizada </w:t>
      </w:r>
      <w:r w:rsidRPr="0059037A">
        <w:rPr>
          <w:rFonts w:ascii="Times New Roman" w:hAnsi="Times New Roman" w:cs="Times New Roman"/>
          <w:sz w:val="24"/>
          <w:szCs w:val="24"/>
          <w:shd w:val="clear" w:color="auto" w:fill="FFFFFF" w:themeFill="background1"/>
        </w:rPr>
        <w:t>na região do Complexo Hidrelétrico do Rio Madeira</w:t>
      </w:r>
      <w:r>
        <w:rPr>
          <w:rFonts w:ascii="Times New Roman" w:hAnsi="Times New Roman" w:cs="Times New Roman"/>
          <w:sz w:val="24"/>
          <w:szCs w:val="24"/>
          <w:shd w:val="clear" w:color="auto" w:fill="FFFFFF" w:themeFill="background1"/>
        </w:rPr>
        <w:t xml:space="preserve"> e na área de influência a ser afetada pela pavimentação da rodovia BR-319. </w:t>
      </w:r>
    </w:p>
    <w:p w14:paraId="1C390403" w14:textId="77777777" w:rsidR="00F90168" w:rsidRDefault="00B007B0" w:rsidP="00F90168">
      <w:pPr>
        <w:spacing w:line="360" w:lineRule="auto"/>
        <w:ind w:firstLine="851"/>
        <w:jc w:val="both"/>
        <w:rPr>
          <w:rFonts w:ascii="Times New Roman" w:hAnsi="Times New Roman" w:cs="Times New Roman"/>
          <w:color w:val="000000"/>
          <w:sz w:val="24"/>
          <w:szCs w:val="24"/>
        </w:rPr>
      </w:pPr>
      <w:r w:rsidRPr="00B007B0">
        <w:rPr>
          <w:rFonts w:ascii="Times New Roman" w:hAnsi="Times New Roman" w:cs="Times New Roman"/>
          <w:color w:val="000000"/>
          <w:sz w:val="24"/>
          <w:szCs w:val="24"/>
        </w:rPr>
        <w:t>Diversos estudos já comprovaram o efeito da implantação de estradas no aumento do desmatamento. O desmatamento é muito maior perto de estradas que em outras partes da Amazônia. Um deles</w:t>
      </w:r>
      <w:r w:rsidRPr="00B007B0">
        <w:rPr>
          <w:rStyle w:val="Refdenotaderodap"/>
          <w:rFonts w:ascii="Times New Roman" w:hAnsi="Times New Roman" w:cs="Times New Roman"/>
          <w:color w:val="000000"/>
          <w:sz w:val="24"/>
          <w:szCs w:val="24"/>
        </w:rPr>
        <w:footnoteReference w:id="9"/>
      </w:r>
      <w:r w:rsidRPr="00B007B0">
        <w:rPr>
          <w:rFonts w:ascii="Times New Roman" w:hAnsi="Times New Roman" w:cs="Times New Roman"/>
          <w:color w:val="000000"/>
          <w:sz w:val="24"/>
          <w:szCs w:val="24"/>
        </w:rPr>
        <w:t xml:space="preserve"> mostrou que 95% do desmatamento acumulado da Amazônia se concentram em uma distância de até 5,5 km de estradas na Amazônia. Este impacto também é acompanhado com incêndios florestais, tendo sido observado que 85% das queimadas concentram-se em até 5 km de estradas na Amazônia</w:t>
      </w:r>
      <w:r w:rsidRPr="00B007B0">
        <w:rPr>
          <w:rStyle w:val="Refdenotaderodap"/>
          <w:rFonts w:ascii="Times New Roman" w:hAnsi="Times New Roman" w:cs="Times New Roman"/>
          <w:color w:val="000000"/>
          <w:sz w:val="24"/>
          <w:szCs w:val="24"/>
        </w:rPr>
        <w:footnoteReference w:id="10"/>
      </w:r>
      <w:r w:rsidRPr="00B007B0">
        <w:rPr>
          <w:rFonts w:ascii="Times New Roman" w:hAnsi="Times New Roman" w:cs="Times New Roman"/>
          <w:color w:val="000000"/>
          <w:sz w:val="24"/>
          <w:szCs w:val="24"/>
        </w:rPr>
        <w:t>.</w:t>
      </w:r>
    </w:p>
    <w:p w14:paraId="51675D3C" w14:textId="77777777" w:rsidR="00F621C1" w:rsidRDefault="00B007B0" w:rsidP="00F621C1">
      <w:pPr>
        <w:spacing w:line="360" w:lineRule="auto"/>
        <w:ind w:firstLine="851"/>
        <w:jc w:val="both"/>
        <w:rPr>
          <w:rFonts w:ascii="Times New Roman" w:hAnsi="Times New Roman" w:cs="Times New Roman"/>
          <w:sz w:val="24"/>
          <w:szCs w:val="24"/>
        </w:rPr>
      </w:pPr>
      <w:r w:rsidRPr="00B007B0">
        <w:rPr>
          <w:rFonts w:ascii="Times New Roman" w:hAnsi="Times New Roman" w:cs="Times New Roman"/>
          <w:sz w:val="24"/>
          <w:szCs w:val="24"/>
        </w:rPr>
        <w:t xml:space="preserve">A rodovia BR-319, que liga Rondônia à Amazônia central, possui alto potencial de estimular o desmatamento na região, uma vez que propiciará acesso a vastas áreas da floresta amazônica hoje preservadas. Uma parte do impacto total da rodovia no desmatamento ocorre ao longo da rota da rodovia em si, porém o maior impacto potencial desta rodovia está em permitir a migração para fronteiras mais distantes. </w:t>
      </w:r>
    </w:p>
    <w:p w14:paraId="3E53FCD5" w14:textId="7F6AA6B1" w:rsidR="00F621C1" w:rsidRDefault="00B007B0" w:rsidP="00F621C1">
      <w:pPr>
        <w:spacing w:line="360" w:lineRule="auto"/>
        <w:ind w:firstLine="851"/>
        <w:jc w:val="both"/>
        <w:rPr>
          <w:rFonts w:ascii="Times New Roman" w:hAnsi="Times New Roman" w:cs="Times New Roman"/>
          <w:sz w:val="24"/>
          <w:szCs w:val="24"/>
        </w:rPr>
      </w:pPr>
      <w:r w:rsidRPr="00B007B0">
        <w:rPr>
          <w:rFonts w:ascii="Times New Roman" w:hAnsi="Times New Roman" w:cs="Times New Roman"/>
          <w:sz w:val="24"/>
          <w:szCs w:val="24"/>
        </w:rPr>
        <w:t>Estudo realizado pela Universidade Federal de Minas Gerais – UFMG</w:t>
      </w:r>
      <w:r w:rsidRPr="00B007B0">
        <w:rPr>
          <w:rStyle w:val="Refdenotaderodap"/>
          <w:rFonts w:ascii="Times New Roman" w:hAnsi="Times New Roman" w:cs="Times New Roman"/>
          <w:sz w:val="24"/>
          <w:szCs w:val="24"/>
        </w:rPr>
        <w:footnoteReference w:id="11"/>
      </w:r>
      <w:r w:rsidRPr="00B007B0">
        <w:rPr>
          <w:rFonts w:ascii="Times New Roman" w:hAnsi="Times New Roman" w:cs="Times New Roman"/>
          <w:sz w:val="24"/>
          <w:szCs w:val="24"/>
        </w:rPr>
        <w:t>, analisou os possíveis impactos da pavimentação da BR-319 por meio do modelo “SimAmazonia”</w:t>
      </w:r>
      <w:r w:rsidRPr="00B007B0">
        <w:rPr>
          <w:rStyle w:val="Refdenotaderodap"/>
          <w:rFonts w:ascii="Times New Roman" w:hAnsi="Times New Roman" w:cs="Times New Roman"/>
          <w:sz w:val="24"/>
          <w:szCs w:val="24"/>
        </w:rPr>
        <w:footnoteReference w:id="12"/>
      </w:r>
      <w:r w:rsidRPr="00B007B0">
        <w:rPr>
          <w:rFonts w:ascii="Times New Roman" w:hAnsi="Times New Roman" w:cs="Times New Roman"/>
          <w:sz w:val="24"/>
          <w:szCs w:val="24"/>
        </w:rPr>
        <w:t>, que integra variáveis do meio físico, infraestrutura, dinâmica demográfica, ordenamento territorial e governança ambiental para simular o desmatamento. Entre os anos de 2015 a 2020, sem a pavimentação da rodovia, foi verificada uma taxa anual média de desmatamento no estado do Amazonas</w:t>
      </w:r>
      <w:r w:rsidRPr="00B007B0">
        <w:rPr>
          <w:rStyle w:val="Refdenotaderodap"/>
          <w:rFonts w:ascii="Times New Roman" w:hAnsi="Times New Roman" w:cs="Times New Roman"/>
          <w:sz w:val="24"/>
          <w:szCs w:val="24"/>
        </w:rPr>
        <w:footnoteReference w:id="13"/>
      </w:r>
      <w:r w:rsidRPr="00B007B0">
        <w:rPr>
          <w:rFonts w:ascii="Times New Roman" w:hAnsi="Times New Roman" w:cs="Times New Roman"/>
          <w:sz w:val="24"/>
          <w:szCs w:val="24"/>
        </w:rPr>
        <w:t xml:space="preserve"> de 1.150 km². Com a pavimentação, e num cenário sem governança, como o previsto pelo</w:t>
      </w:r>
      <w:r w:rsidR="00F621C1">
        <w:rPr>
          <w:rFonts w:ascii="Times New Roman" w:hAnsi="Times New Roman" w:cs="Times New Roman"/>
          <w:sz w:val="24"/>
          <w:szCs w:val="24"/>
        </w:rPr>
        <w:t xml:space="preserve"> Projeto de Lei do licenciamento ambiental (</w:t>
      </w:r>
      <w:r w:rsidRPr="00B007B0">
        <w:rPr>
          <w:rFonts w:ascii="Times New Roman" w:hAnsi="Times New Roman" w:cs="Times New Roman"/>
          <w:sz w:val="24"/>
          <w:szCs w:val="24"/>
        </w:rPr>
        <w:t>PL nº 3.729/2004</w:t>
      </w:r>
      <w:r w:rsidR="00F621C1">
        <w:rPr>
          <w:rFonts w:ascii="Times New Roman" w:hAnsi="Times New Roman" w:cs="Times New Roman"/>
          <w:sz w:val="24"/>
          <w:szCs w:val="24"/>
        </w:rPr>
        <w:t>)</w:t>
      </w:r>
      <w:r w:rsidRPr="00B007B0">
        <w:rPr>
          <w:rFonts w:ascii="Times New Roman" w:hAnsi="Times New Roman" w:cs="Times New Roman"/>
          <w:sz w:val="24"/>
          <w:szCs w:val="24"/>
        </w:rPr>
        <w:t>, é previsto um aumento significativo do desmatamento, que pode atingir 9,4 mil km² por ano em 2050 no estado, taxa similar à verificada no ano de 2019 para toda a Amazônia Legal, de 10,129 km²</w:t>
      </w:r>
      <w:r w:rsidRPr="00B007B0">
        <w:rPr>
          <w:rStyle w:val="Refdenotaderodap"/>
          <w:rFonts w:ascii="Times New Roman" w:hAnsi="Times New Roman" w:cs="Times New Roman"/>
          <w:sz w:val="24"/>
          <w:szCs w:val="24"/>
        </w:rPr>
        <w:footnoteReference w:id="14"/>
      </w:r>
      <w:r w:rsidRPr="00B007B0">
        <w:rPr>
          <w:rFonts w:ascii="Times New Roman" w:hAnsi="Times New Roman" w:cs="Times New Roman"/>
          <w:sz w:val="24"/>
          <w:szCs w:val="24"/>
        </w:rPr>
        <w:t>, quando se verificou uma alta de 34,4% em relação ao ano anterior. Ainda nesse cenário sem governança, o desmatamento acumulado no Amazonas alcançaria cerca de 170 mil km², quatro vezes maior do que o valor projetado com base na média histórica para os anos de 2012 a 2016.</w:t>
      </w:r>
    </w:p>
    <w:p w14:paraId="3989C332" w14:textId="77D03980" w:rsidR="00125E17" w:rsidRDefault="00125E17" w:rsidP="00F621C1">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Segundo um estudo realizado pelo Instituto Socioambiental e a Universidade Federal de Minas Gerais (UFMG)</w:t>
      </w:r>
      <w:r>
        <w:rPr>
          <w:rStyle w:val="Refdenotaderodap"/>
          <w:rFonts w:ascii="Times New Roman" w:hAnsi="Times New Roman" w:cs="Times New Roman"/>
          <w:sz w:val="24"/>
          <w:szCs w:val="24"/>
        </w:rPr>
        <w:footnoteReference w:id="15"/>
      </w:r>
      <w:r>
        <w:rPr>
          <w:rFonts w:ascii="Times New Roman" w:hAnsi="Times New Roman" w:cs="Times New Roman"/>
          <w:sz w:val="24"/>
          <w:szCs w:val="24"/>
        </w:rPr>
        <w:t xml:space="preserve">, </w:t>
      </w:r>
      <w:r w:rsidR="00E25CBB">
        <w:rPr>
          <w:rFonts w:ascii="Times New Roman" w:hAnsi="Times New Roman" w:cs="Times New Roman"/>
          <w:sz w:val="24"/>
          <w:szCs w:val="24"/>
        </w:rPr>
        <w:t>em um cenário de baixa governança ambiental</w:t>
      </w:r>
      <w:r w:rsidR="005D01C3">
        <w:rPr>
          <w:rFonts w:ascii="Times New Roman" w:hAnsi="Times New Roman" w:cs="Times New Roman"/>
          <w:sz w:val="24"/>
          <w:szCs w:val="24"/>
        </w:rPr>
        <w:t xml:space="preserve"> </w:t>
      </w:r>
      <w:r w:rsidR="005D0E68">
        <w:rPr>
          <w:rFonts w:ascii="Times New Roman" w:hAnsi="Times New Roman" w:cs="Times New Roman"/>
          <w:sz w:val="24"/>
          <w:szCs w:val="24"/>
        </w:rPr>
        <w:t xml:space="preserve">das políticas de comando e controle, e licenciamento ambiental, </w:t>
      </w:r>
      <w:r w:rsidR="005D01C3">
        <w:rPr>
          <w:rFonts w:ascii="Times New Roman" w:hAnsi="Times New Roman" w:cs="Times New Roman"/>
          <w:sz w:val="24"/>
          <w:szCs w:val="24"/>
        </w:rPr>
        <w:t xml:space="preserve">a TI Jacareúba-Katawixi poderá acumular um desmatamento de 269.974 hectares entre os anos de 2022 a 2039. </w:t>
      </w:r>
    </w:p>
    <w:p w14:paraId="5489F0C6" w14:textId="772AA248" w:rsidR="00696BE2" w:rsidRDefault="00F621C1" w:rsidP="00696BE2">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Os limites da TI </w:t>
      </w:r>
      <w:r w:rsidRPr="00F90168">
        <w:rPr>
          <w:rFonts w:ascii="Times New Roman" w:hAnsi="Times New Roman" w:cs="Times New Roman"/>
          <w:sz w:val="24"/>
          <w:szCs w:val="24"/>
        </w:rPr>
        <w:t>Jacareúba-Katawixi</w:t>
      </w:r>
      <w:r>
        <w:rPr>
          <w:rFonts w:ascii="Times New Roman" w:hAnsi="Times New Roman" w:cs="Times New Roman"/>
          <w:sz w:val="24"/>
          <w:szCs w:val="24"/>
        </w:rPr>
        <w:t xml:space="preserve"> estão localizados a partir de 15 quilômetros da rodovia BR-319, e a especulação de terra, </w:t>
      </w:r>
      <w:r w:rsidRPr="00B007B0">
        <w:rPr>
          <w:rFonts w:ascii="Times New Roman" w:hAnsi="Times New Roman" w:cs="Times New Roman"/>
          <w:sz w:val="24"/>
          <w:szCs w:val="24"/>
        </w:rPr>
        <w:t>abertura de estradas vicinais e desmatamento ilegal</w:t>
      </w:r>
      <w:r>
        <w:rPr>
          <w:rFonts w:ascii="Times New Roman" w:hAnsi="Times New Roman" w:cs="Times New Roman"/>
          <w:sz w:val="24"/>
          <w:szCs w:val="24"/>
        </w:rPr>
        <w:t xml:space="preserve"> deverão pressionar ainda mais a TI.</w:t>
      </w:r>
    </w:p>
    <w:p w14:paraId="3CCEA36F" w14:textId="4AD92301" w:rsidR="00B05DE2" w:rsidRDefault="00B05DE2" w:rsidP="00F621C1">
      <w:pPr>
        <w:suppressAutoHyphens w:val="0"/>
        <w:overflowPunct/>
        <w:autoSpaceDE w:val="0"/>
        <w:autoSpaceDN w:val="0"/>
        <w:adjustRightInd w:val="0"/>
        <w:spacing w:line="360" w:lineRule="auto"/>
        <w:jc w:val="both"/>
        <w:rPr>
          <w:rFonts w:ascii="Times New Roman" w:eastAsia="Times New Roman" w:hAnsi="Times New Roman" w:cs="Times New Roman"/>
          <w:sz w:val="24"/>
          <w:szCs w:val="24"/>
        </w:rPr>
      </w:pPr>
    </w:p>
    <w:p w14:paraId="0E322B48" w14:textId="4D87A908" w:rsidR="00F621C1" w:rsidRDefault="002661A4" w:rsidP="00F621C1">
      <w:pPr>
        <w:spacing w:line="360" w:lineRule="auto"/>
        <w:rPr>
          <w:rFonts w:ascii="Times New Roman" w:hAnsi="Times New Roman" w:cs="Times New Roman"/>
          <w:b/>
          <w:bCs/>
          <w:smallCaps/>
          <w:kern w:val="2"/>
          <w:sz w:val="24"/>
          <w:szCs w:val="24"/>
        </w:rPr>
      </w:pPr>
      <w:r>
        <w:rPr>
          <w:rFonts w:ascii="Times New Roman" w:hAnsi="Times New Roman" w:cs="Times New Roman"/>
          <w:b/>
          <w:bCs/>
          <w:smallCaps/>
          <w:kern w:val="2"/>
          <w:sz w:val="24"/>
          <w:szCs w:val="24"/>
        </w:rPr>
        <w:t>4</w:t>
      </w:r>
      <w:r w:rsidR="00F621C1">
        <w:rPr>
          <w:rFonts w:ascii="Times New Roman" w:hAnsi="Times New Roman" w:cs="Times New Roman"/>
          <w:b/>
          <w:bCs/>
          <w:smallCaps/>
          <w:kern w:val="2"/>
          <w:sz w:val="24"/>
          <w:szCs w:val="24"/>
        </w:rPr>
        <w:t xml:space="preserve">. A Terra Indígena </w:t>
      </w:r>
      <w:r w:rsidR="00F621C1">
        <w:rPr>
          <w:rFonts w:ascii="Times New Roman" w:hAnsi="Times New Roman" w:cs="Times New Roman"/>
          <w:b/>
          <w:bCs/>
          <w:smallCaps/>
          <w:kern w:val="2"/>
          <w:sz w:val="24"/>
          <w:szCs w:val="24"/>
        </w:rPr>
        <w:t>Pirititi</w:t>
      </w:r>
    </w:p>
    <w:p w14:paraId="0720BE53" w14:textId="1022D4E1" w:rsidR="00F621C1" w:rsidRDefault="00F621C1" w:rsidP="00F621C1">
      <w:pPr>
        <w:suppressAutoHyphens w:val="0"/>
        <w:overflowPunct/>
        <w:autoSpaceDE w:val="0"/>
        <w:autoSpaceDN w:val="0"/>
        <w:adjustRightInd w:val="0"/>
        <w:spacing w:line="360" w:lineRule="auto"/>
        <w:jc w:val="both"/>
        <w:rPr>
          <w:rFonts w:ascii="Times New Roman" w:eastAsia="Times New Roman" w:hAnsi="Times New Roman" w:cs="Times New Roman"/>
          <w:sz w:val="24"/>
          <w:szCs w:val="24"/>
        </w:rPr>
      </w:pPr>
    </w:p>
    <w:p w14:paraId="5B823C5E" w14:textId="77777777" w:rsidR="00696BE2" w:rsidRDefault="00696BE2" w:rsidP="00696BE2">
      <w:pPr>
        <w:spacing w:line="360" w:lineRule="auto"/>
        <w:ind w:firstLine="851"/>
        <w:jc w:val="both"/>
        <w:rPr>
          <w:rFonts w:ascii="Times New Roman" w:hAnsi="Times New Roman" w:cs="Times New Roman"/>
          <w:sz w:val="24"/>
          <w:szCs w:val="24"/>
        </w:rPr>
      </w:pPr>
      <w:r w:rsidRPr="00317CD7">
        <w:rPr>
          <w:rFonts w:ascii="Times New Roman" w:hAnsi="Times New Roman" w:cs="Times New Roman"/>
          <w:color w:val="000000"/>
          <w:sz w:val="24"/>
          <w:szCs w:val="24"/>
        </w:rPr>
        <w:t xml:space="preserve">A TI </w:t>
      </w:r>
      <w:r>
        <w:rPr>
          <w:rFonts w:ascii="Times New Roman" w:hAnsi="Times New Roman" w:cs="Times New Roman"/>
          <w:color w:val="000000"/>
          <w:sz w:val="24"/>
          <w:szCs w:val="24"/>
        </w:rPr>
        <w:t xml:space="preserve">Pirititi </w:t>
      </w:r>
      <w:r w:rsidRPr="00317CD7">
        <w:rPr>
          <w:rFonts w:ascii="Times New Roman" w:hAnsi="Times New Roman" w:cs="Times New Roman"/>
          <w:color w:val="000000"/>
          <w:sz w:val="24"/>
          <w:szCs w:val="24"/>
        </w:rPr>
        <w:t>é habitada por um grupo de indígenas isolados</w:t>
      </w:r>
      <w:r>
        <w:rPr>
          <w:rFonts w:ascii="Times New Roman" w:hAnsi="Times New Roman" w:cs="Times New Roman"/>
          <w:color w:val="000000"/>
          <w:sz w:val="24"/>
          <w:szCs w:val="24"/>
        </w:rPr>
        <w:t xml:space="preserve">, classificado pela Funai </w:t>
      </w:r>
      <w:r w:rsidRPr="00BC6359">
        <w:rPr>
          <w:rFonts w:ascii="Times New Roman" w:hAnsi="Times New Roman" w:cs="Times New Roman"/>
          <w:color w:val="000000"/>
          <w:sz w:val="24"/>
          <w:szCs w:val="24"/>
        </w:rPr>
        <w:t xml:space="preserve">como um registro “confirmado”, </w:t>
      </w:r>
      <w:r w:rsidRPr="00BC6359">
        <w:rPr>
          <w:rFonts w:ascii="Times New Roman" w:hAnsi="Times New Roman" w:cs="Times New Roman"/>
          <w:sz w:val="24"/>
          <w:szCs w:val="24"/>
        </w:rPr>
        <w:t>nos termos do inciso I do art. 4o da Lei no 6.001/73</w:t>
      </w:r>
      <w:r>
        <w:rPr>
          <w:rFonts w:ascii="Times New Roman" w:hAnsi="Times New Roman" w:cs="Times New Roman"/>
          <w:sz w:val="24"/>
          <w:szCs w:val="24"/>
        </w:rPr>
        <w:t xml:space="preserve"> e nos </w:t>
      </w:r>
      <w:r w:rsidRPr="00CB6285">
        <w:rPr>
          <w:rFonts w:ascii="Times New Roman" w:hAnsi="Times New Roman" w:cs="Times New Roman"/>
          <w:sz w:val="24"/>
          <w:szCs w:val="24"/>
        </w:rPr>
        <w:t xml:space="preserve">relatórios e elementos constantes no Processo Funai </w:t>
      </w:r>
      <w:r>
        <w:rPr>
          <w:rFonts w:ascii="Times New Roman" w:hAnsi="Times New Roman" w:cs="Times New Roman"/>
          <w:sz w:val="24"/>
          <w:szCs w:val="24"/>
        </w:rPr>
        <w:t xml:space="preserve">No. </w:t>
      </w:r>
      <w:r w:rsidRPr="00CB6285">
        <w:rPr>
          <w:rFonts w:ascii="Times New Roman" w:hAnsi="Times New Roman" w:cs="Times New Roman"/>
          <w:sz w:val="24"/>
          <w:szCs w:val="24"/>
        </w:rPr>
        <w:t xml:space="preserve">08620-083438/2012-71, que trata </w:t>
      </w:r>
      <w:r>
        <w:rPr>
          <w:rFonts w:ascii="Times New Roman" w:hAnsi="Times New Roman" w:cs="Times New Roman"/>
          <w:sz w:val="24"/>
          <w:szCs w:val="24"/>
        </w:rPr>
        <w:t>da l</w:t>
      </w:r>
      <w:r w:rsidRPr="00CB6285">
        <w:rPr>
          <w:rFonts w:ascii="Times New Roman" w:hAnsi="Times New Roman" w:cs="Times New Roman"/>
          <w:sz w:val="24"/>
          <w:szCs w:val="24"/>
        </w:rPr>
        <w:t xml:space="preserve">ocalização e </w:t>
      </w:r>
      <w:r>
        <w:rPr>
          <w:rFonts w:ascii="Times New Roman" w:hAnsi="Times New Roman" w:cs="Times New Roman"/>
          <w:sz w:val="24"/>
          <w:szCs w:val="24"/>
        </w:rPr>
        <w:t>m</w:t>
      </w:r>
      <w:r w:rsidRPr="00CB6285">
        <w:rPr>
          <w:rFonts w:ascii="Times New Roman" w:hAnsi="Times New Roman" w:cs="Times New Roman"/>
          <w:sz w:val="24"/>
          <w:szCs w:val="24"/>
        </w:rPr>
        <w:t xml:space="preserve">onitoramento do </w:t>
      </w:r>
      <w:r>
        <w:rPr>
          <w:rFonts w:ascii="Times New Roman" w:hAnsi="Times New Roman" w:cs="Times New Roman"/>
          <w:sz w:val="24"/>
          <w:szCs w:val="24"/>
        </w:rPr>
        <w:t>r</w:t>
      </w:r>
      <w:r w:rsidRPr="00CB6285">
        <w:rPr>
          <w:rFonts w:ascii="Times New Roman" w:hAnsi="Times New Roman" w:cs="Times New Roman"/>
          <w:sz w:val="24"/>
          <w:szCs w:val="24"/>
        </w:rPr>
        <w:t xml:space="preserve">egistro </w:t>
      </w:r>
      <w:r>
        <w:rPr>
          <w:rFonts w:ascii="Times New Roman" w:hAnsi="Times New Roman" w:cs="Times New Roman"/>
          <w:sz w:val="24"/>
          <w:szCs w:val="24"/>
        </w:rPr>
        <w:t xml:space="preserve">No. </w:t>
      </w:r>
      <w:r w:rsidRPr="00CB6285">
        <w:rPr>
          <w:rFonts w:ascii="Times New Roman" w:hAnsi="Times New Roman" w:cs="Times New Roman"/>
          <w:sz w:val="24"/>
          <w:szCs w:val="24"/>
        </w:rPr>
        <w:t>07 Rio Alalaú - TI Pirititi - RR/AM</w:t>
      </w:r>
      <w:r>
        <w:rPr>
          <w:rFonts w:ascii="Times New Roman" w:hAnsi="Times New Roman" w:cs="Times New Roman"/>
          <w:sz w:val="24"/>
          <w:szCs w:val="24"/>
        </w:rPr>
        <w:t xml:space="preserve">. </w:t>
      </w:r>
      <w:r w:rsidRPr="00CB6285">
        <w:rPr>
          <w:rFonts w:ascii="Times New Roman" w:eastAsia="Times New Roman" w:hAnsi="Times New Roman" w:cs="Times New Roman"/>
          <w:sz w:val="24"/>
          <w:szCs w:val="24"/>
        </w:rPr>
        <w:t>A existência do grupo foi relatada desde a década de 1980 pelos Waimiri-Atroari, que os denomina de Piruichichi (Pirititi) ou ainda Tiquiriá, e seriam seus parentes.</w:t>
      </w:r>
      <w:r>
        <w:rPr>
          <w:rFonts w:ascii="Times New Roman" w:eastAsia="Times New Roman" w:hAnsi="Times New Roman" w:cs="Times New Roman"/>
          <w:sz w:val="24"/>
          <w:szCs w:val="24"/>
        </w:rPr>
        <w:t xml:space="preserve"> </w:t>
      </w:r>
      <w:r>
        <w:rPr>
          <w:rFonts w:ascii="Times New Roman" w:hAnsi="Times New Roman" w:cs="Times New Roman"/>
          <w:sz w:val="24"/>
          <w:szCs w:val="24"/>
        </w:rPr>
        <w:t xml:space="preserve">Este registro confirmado pela Funai </w:t>
      </w:r>
      <w:r w:rsidRPr="00BC6359">
        <w:rPr>
          <w:rFonts w:ascii="Times New Roman" w:hAnsi="Times New Roman" w:cs="Times New Roman"/>
          <w:color w:val="000000"/>
          <w:sz w:val="24"/>
          <w:szCs w:val="24"/>
        </w:rPr>
        <w:t xml:space="preserve">demanda a realização de </w:t>
      </w:r>
      <w:r w:rsidRPr="00BC6359">
        <w:rPr>
          <w:rFonts w:ascii="Times New Roman" w:eastAsia="Times New Roman" w:hAnsi="Times New Roman" w:cs="Times New Roman"/>
          <w:color w:val="000000"/>
          <w:sz w:val="24"/>
          <w:szCs w:val="24"/>
        </w:rPr>
        <w:t xml:space="preserve">operações de </w:t>
      </w:r>
      <w:r w:rsidRPr="00296CF6">
        <w:rPr>
          <w:rFonts w:ascii="Times New Roman" w:eastAsia="Times New Roman" w:hAnsi="Times New Roman" w:cs="Times New Roman"/>
          <w:color w:val="000000"/>
          <w:sz w:val="24"/>
          <w:szCs w:val="24"/>
        </w:rPr>
        <w:t>proteção</w:t>
      </w:r>
      <w:r w:rsidRPr="00BC6359">
        <w:rPr>
          <w:rFonts w:ascii="Times New Roman" w:eastAsia="Times New Roman" w:hAnsi="Times New Roman" w:cs="Times New Roman"/>
          <w:color w:val="000000"/>
          <w:sz w:val="24"/>
          <w:szCs w:val="24"/>
        </w:rPr>
        <w:t xml:space="preserve"> e </w:t>
      </w:r>
      <w:r w:rsidRPr="00296CF6">
        <w:rPr>
          <w:rFonts w:ascii="Times New Roman" w:eastAsia="Times New Roman" w:hAnsi="Times New Roman" w:cs="Times New Roman"/>
          <w:color w:val="000000"/>
          <w:sz w:val="24"/>
          <w:szCs w:val="24"/>
        </w:rPr>
        <w:t>fiscalização</w:t>
      </w:r>
      <w:r w:rsidRPr="00BC6359">
        <w:rPr>
          <w:rFonts w:ascii="Times New Roman" w:eastAsia="Times New Roman" w:hAnsi="Times New Roman" w:cs="Times New Roman"/>
          <w:color w:val="000000"/>
          <w:sz w:val="24"/>
          <w:szCs w:val="24"/>
        </w:rPr>
        <w:t xml:space="preserve"> do território</w:t>
      </w:r>
      <w:r>
        <w:rPr>
          <w:rFonts w:ascii="Times New Roman" w:eastAsia="Times New Roman" w:hAnsi="Times New Roman" w:cs="Times New Roman"/>
          <w:color w:val="000000"/>
          <w:sz w:val="24"/>
          <w:szCs w:val="24"/>
        </w:rPr>
        <w:t xml:space="preserve"> para a garantia do direito pelo isolamento voluntário deste povo. </w:t>
      </w:r>
    </w:p>
    <w:p w14:paraId="2050682C" w14:textId="601F2E00" w:rsidR="00696BE2" w:rsidRDefault="00696BE2" w:rsidP="00696BE2">
      <w:pPr>
        <w:spacing w:line="360" w:lineRule="auto"/>
        <w:ind w:firstLine="851"/>
        <w:jc w:val="both"/>
        <w:rPr>
          <w:rFonts w:ascii="Times New Roman" w:eastAsia="Times New Roman" w:hAnsi="Times New Roman" w:cs="Times New Roman"/>
          <w:sz w:val="24"/>
          <w:szCs w:val="24"/>
        </w:rPr>
      </w:pPr>
      <w:r w:rsidRPr="00CB6285">
        <w:rPr>
          <w:rFonts w:ascii="Times New Roman" w:eastAsia="Times New Roman" w:hAnsi="Times New Roman" w:cs="Times New Roman"/>
          <w:sz w:val="24"/>
          <w:szCs w:val="24"/>
        </w:rPr>
        <w:t xml:space="preserve">Durante a demarcação da </w:t>
      </w:r>
      <w:r>
        <w:rPr>
          <w:rFonts w:ascii="Times New Roman" w:eastAsia="Times New Roman" w:hAnsi="Times New Roman" w:cs="Times New Roman"/>
          <w:sz w:val="24"/>
          <w:szCs w:val="24"/>
        </w:rPr>
        <w:t xml:space="preserve">TI </w:t>
      </w:r>
      <w:r w:rsidRPr="00CB6285">
        <w:rPr>
          <w:rFonts w:ascii="Times New Roman" w:eastAsia="Times New Roman" w:hAnsi="Times New Roman" w:cs="Times New Roman"/>
          <w:sz w:val="24"/>
          <w:szCs w:val="24"/>
        </w:rPr>
        <w:t xml:space="preserve">Waimiri-Atroari, acreditava-se os Pirititi estariam protegidos dentro da área demarcada. No entanto, estudos posteriores confirmaram presença fora da </w:t>
      </w:r>
      <w:r>
        <w:rPr>
          <w:rFonts w:ascii="Times New Roman" w:eastAsia="Times New Roman" w:hAnsi="Times New Roman" w:cs="Times New Roman"/>
          <w:sz w:val="24"/>
          <w:szCs w:val="24"/>
        </w:rPr>
        <w:t xml:space="preserve">TI. </w:t>
      </w:r>
      <w:r w:rsidRPr="00CB6285">
        <w:rPr>
          <w:rFonts w:ascii="Times New Roman" w:eastAsia="Times New Roman" w:hAnsi="Times New Roman" w:cs="Times New Roman"/>
          <w:sz w:val="24"/>
          <w:szCs w:val="24"/>
        </w:rPr>
        <w:t xml:space="preserve">Em 2011, durante </w:t>
      </w:r>
      <w:r>
        <w:rPr>
          <w:rFonts w:ascii="Times New Roman" w:eastAsia="Times New Roman" w:hAnsi="Times New Roman" w:cs="Times New Roman"/>
          <w:sz w:val="24"/>
          <w:szCs w:val="24"/>
        </w:rPr>
        <w:t xml:space="preserve">um </w:t>
      </w:r>
      <w:r w:rsidRPr="00CB6285">
        <w:rPr>
          <w:rFonts w:ascii="Times New Roman" w:eastAsia="Times New Roman" w:hAnsi="Times New Roman" w:cs="Times New Roman"/>
          <w:sz w:val="24"/>
          <w:szCs w:val="24"/>
        </w:rPr>
        <w:t xml:space="preserve">sobrevoo de equipe da Funai, foram </w:t>
      </w:r>
      <w:r w:rsidR="002661A4" w:rsidRPr="00CB6285">
        <w:rPr>
          <w:rFonts w:ascii="Times New Roman" w:eastAsia="Times New Roman" w:hAnsi="Times New Roman" w:cs="Times New Roman"/>
          <w:sz w:val="24"/>
          <w:szCs w:val="24"/>
        </w:rPr>
        <w:t>avistados</w:t>
      </w:r>
      <w:r w:rsidRPr="00CB6285">
        <w:rPr>
          <w:rFonts w:ascii="Times New Roman" w:eastAsia="Times New Roman" w:hAnsi="Times New Roman" w:cs="Times New Roman"/>
          <w:sz w:val="24"/>
          <w:szCs w:val="24"/>
        </w:rPr>
        <w:t xml:space="preserve"> maloca e roçado</w:t>
      </w:r>
      <w:r>
        <w:rPr>
          <w:rFonts w:ascii="Times New Roman" w:eastAsia="Times New Roman" w:hAnsi="Times New Roman" w:cs="Times New Roman"/>
          <w:sz w:val="24"/>
          <w:szCs w:val="24"/>
        </w:rPr>
        <w:t>s</w:t>
      </w:r>
      <w:r w:rsidRPr="00CB6285">
        <w:rPr>
          <w:rFonts w:ascii="Times New Roman" w:eastAsia="Times New Roman" w:hAnsi="Times New Roman" w:cs="Times New Roman"/>
          <w:sz w:val="24"/>
          <w:szCs w:val="24"/>
        </w:rPr>
        <w:t xml:space="preserve"> do grupo. </w:t>
      </w:r>
      <w:r>
        <w:rPr>
          <w:rFonts w:ascii="Times New Roman" w:eastAsia="Times New Roman" w:hAnsi="Times New Roman" w:cs="Times New Roman"/>
          <w:sz w:val="24"/>
          <w:szCs w:val="24"/>
        </w:rPr>
        <w:t>E e</w:t>
      </w:r>
      <w:r w:rsidRPr="00CB6285">
        <w:rPr>
          <w:rFonts w:ascii="Times New Roman" w:eastAsia="Times New Roman" w:hAnsi="Times New Roman" w:cs="Times New Roman"/>
          <w:sz w:val="24"/>
          <w:szCs w:val="24"/>
        </w:rPr>
        <w:t>m 2014, o coordenador da Frente de Proteção Etnoambiental Yanomami e Ye'kuana estimou que o grupo somava cinquenta membros.</w:t>
      </w:r>
    </w:p>
    <w:p w14:paraId="715FC9E9" w14:textId="01E9DF81" w:rsidR="00F621C1" w:rsidRDefault="00F621C1" w:rsidP="00C75785">
      <w:pPr>
        <w:spacing w:line="360" w:lineRule="auto"/>
        <w:ind w:firstLine="851"/>
        <w:jc w:val="both"/>
        <w:rPr>
          <w:rFonts w:ascii="Times New Roman" w:hAnsi="Times New Roman" w:cs="Times New Roman"/>
          <w:color w:val="000000"/>
          <w:sz w:val="24"/>
          <w:szCs w:val="24"/>
        </w:rPr>
      </w:pPr>
      <w:r w:rsidRPr="00317CD7">
        <w:rPr>
          <w:rFonts w:ascii="Times New Roman" w:hAnsi="Times New Roman" w:cs="Times New Roman"/>
          <w:color w:val="000000"/>
          <w:sz w:val="24"/>
          <w:szCs w:val="24"/>
        </w:rPr>
        <w:t>A TI está localizada no município</w:t>
      </w:r>
      <w:r w:rsidR="00FB4370">
        <w:rPr>
          <w:rFonts w:ascii="Times New Roman" w:hAnsi="Times New Roman" w:cs="Times New Roman"/>
          <w:color w:val="000000"/>
          <w:sz w:val="24"/>
          <w:szCs w:val="24"/>
        </w:rPr>
        <w:t xml:space="preserve"> de Rorainópolis</w:t>
      </w:r>
      <w:r w:rsidRPr="00317CD7">
        <w:rPr>
          <w:rFonts w:ascii="Times New Roman" w:hAnsi="Times New Roman" w:cs="Times New Roman"/>
          <w:color w:val="000000"/>
          <w:sz w:val="24"/>
          <w:szCs w:val="24"/>
        </w:rPr>
        <w:t xml:space="preserve">, no estado de </w:t>
      </w:r>
      <w:r w:rsidR="00FB4370">
        <w:rPr>
          <w:rFonts w:ascii="Times New Roman" w:hAnsi="Times New Roman" w:cs="Times New Roman"/>
          <w:color w:val="000000"/>
          <w:sz w:val="24"/>
          <w:szCs w:val="24"/>
        </w:rPr>
        <w:t>Roraima</w:t>
      </w:r>
      <w:r>
        <w:rPr>
          <w:rFonts w:ascii="Times New Roman" w:hAnsi="Times New Roman" w:cs="Times New Roman"/>
          <w:color w:val="000000"/>
          <w:sz w:val="24"/>
          <w:szCs w:val="24"/>
        </w:rPr>
        <w:t xml:space="preserve"> (Figura 1)</w:t>
      </w:r>
      <w:r>
        <w:rPr>
          <w:rFonts w:ascii="Times New Roman" w:hAnsi="Times New Roman" w:cs="Times New Roman"/>
          <w:sz w:val="24"/>
          <w:szCs w:val="24"/>
          <w:shd w:val="clear" w:color="auto" w:fill="FFFFFF"/>
        </w:rPr>
        <w:t xml:space="preserve">. </w:t>
      </w:r>
      <w:r w:rsidRPr="00317CD7">
        <w:rPr>
          <w:rFonts w:ascii="Times New Roman" w:hAnsi="Times New Roman" w:cs="Times New Roman"/>
          <w:color w:val="000000"/>
          <w:sz w:val="24"/>
          <w:szCs w:val="24"/>
        </w:rPr>
        <w:t xml:space="preserve">O processo de demarcação da TI </w:t>
      </w:r>
      <w:r w:rsidR="00BC6359">
        <w:rPr>
          <w:rFonts w:ascii="Times New Roman" w:hAnsi="Times New Roman" w:cs="Times New Roman"/>
          <w:color w:val="000000"/>
          <w:sz w:val="24"/>
          <w:szCs w:val="24"/>
        </w:rPr>
        <w:t>tem início no ano de 2012</w:t>
      </w:r>
      <w:r w:rsidRPr="00317CD7">
        <w:rPr>
          <w:rFonts w:ascii="Times New Roman" w:hAnsi="Times New Roman" w:cs="Times New Roman"/>
          <w:color w:val="000000"/>
          <w:sz w:val="24"/>
          <w:szCs w:val="24"/>
        </w:rPr>
        <w:t xml:space="preserve">, ano em que a </w:t>
      </w:r>
      <w:r w:rsidRPr="00A52962">
        <w:rPr>
          <w:rFonts w:ascii="Times New Roman" w:hAnsi="Times New Roman" w:cs="Times New Roman"/>
          <w:color w:val="000000"/>
          <w:sz w:val="24"/>
          <w:szCs w:val="24"/>
        </w:rPr>
        <w:t xml:space="preserve">Funai </w:t>
      </w:r>
      <w:r w:rsidR="00BC6359">
        <w:rPr>
          <w:rFonts w:ascii="Times New Roman" w:hAnsi="Times New Roman" w:cs="Times New Roman"/>
          <w:color w:val="000000"/>
          <w:sz w:val="24"/>
          <w:szCs w:val="24"/>
        </w:rPr>
        <w:t xml:space="preserve">regulamenta a primeira Portaria de Restrição de Uso na área por um </w:t>
      </w:r>
      <w:r w:rsidRPr="00A52962">
        <w:rPr>
          <w:rFonts w:ascii="Times New Roman" w:hAnsi="Times New Roman" w:cs="Times New Roman"/>
          <w:color w:val="000000"/>
          <w:sz w:val="24"/>
          <w:szCs w:val="24"/>
        </w:rPr>
        <w:t>prazo de três anos</w:t>
      </w:r>
      <w:r w:rsidR="00BC6359">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Esta primeira Portaria de Restrição de Uso (Portaria No. </w:t>
      </w:r>
      <w:r w:rsidR="00BC6359">
        <w:rPr>
          <w:rFonts w:ascii="Times New Roman" w:hAnsi="Times New Roman" w:cs="Times New Roman"/>
          <w:color w:val="000000"/>
          <w:sz w:val="24"/>
          <w:szCs w:val="24"/>
        </w:rPr>
        <w:t>1.672</w:t>
      </w:r>
      <w:r>
        <w:rPr>
          <w:rFonts w:ascii="Times New Roman" w:hAnsi="Times New Roman" w:cs="Times New Roman"/>
          <w:color w:val="000000"/>
          <w:sz w:val="24"/>
          <w:szCs w:val="24"/>
        </w:rPr>
        <w:t xml:space="preserve"> de 1</w:t>
      </w:r>
      <w:r w:rsidR="00BC6359">
        <w:rPr>
          <w:rFonts w:ascii="Times New Roman" w:hAnsi="Times New Roman" w:cs="Times New Roman"/>
          <w:color w:val="000000"/>
          <w:sz w:val="24"/>
          <w:szCs w:val="24"/>
        </w:rPr>
        <w:t>4</w:t>
      </w:r>
      <w:r>
        <w:rPr>
          <w:rFonts w:ascii="Times New Roman" w:hAnsi="Times New Roman" w:cs="Times New Roman"/>
          <w:color w:val="000000"/>
          <w:sz w:val="24"/>
          <w:szCs w:val="24"/>
        </w:rPr>
        <w:t>.</w:t>
      </w:r>
      <w:r w:rsidR="00BC6359">
        <w:rPr>
          <w:rFonts w:ascii="Times New Roman" w:hAnsi="Times New Roman" w:cs="Times New Roman"/>
          <w:color w:val="000000"/>
          <w:sz w:val="24"/>
          <w:szCs w:val="24"/>
        </w:rPr>
        <w:t>12</w:t>
      </w:r>
      <w:r>
        <w:rPr>
          <w:rFonts w:ascii="Times New Roman" w:hAnsi="Times New Roman" w:cs="Times New Roman"/>
          <w:color w:val="000000"/>
          <w:sz w:val="24"/>
          <w:szCs w:val="24"/>
        </w:rPr>
        <w:t>.20</w:t>
      </w:r>
      <w:r w:rsidR="00BC6359">
        <w:rPr>
          <w:rFonts w:ascii="Times New Roman" w:hAnsi="Times New Roman" w:cs="Times New Roman"/>
          <w:color w:val="000000"/>
          <w:sz w:val="24"/>
          <w:szCs w:val="24"/>
        </w:rPr>
        <w:t>12, publicada no DOU em 26.12.2012</w:t>
      </w:r>
      <w:r>
        <w:rPr>
          <w:rFonts w:ascii="Times New Roman" w:hAnsi="Times New Roman" w:cs="Times New Roman"/>
          <w:color w:val="000000"/>
          <w:sz w:val="24"/>
          <w:szCs w:val="24"/>
        </w:rPr>
        <w:t xml:space="preserve">) estabeleceu </w:t>
      </w:r>
      <w:r w:rsidR="00BC6359" w:rsidRPr="00BC6359">
        <w:rPr>
          <w:rFonts w:ascii="Times New Roman" w:hAnsi="Times New Roman" w:cs="Times New Roman"/>
          <w:sz w:val="24"/>
          <w:szCs w:val="24"/>
        </w:rPr>
        <w:t>restrição ao direito de ingresso, locomoção</w:t>
      </w:r>
      <w:r w:rsidR="00BC6359">
        <w:rPr>
          <w:rFonts w:ascii="Times New Roman" w:hAnsi="Times New Roman" w:cs="Times New Roman"/>
          <w:sz w:val="24"/>
          <w:szCs w:val="24"/>
        </w:rPr>
        <w:t xml:space="preserve"> </w:t>
      </w:r>
      <w:r w:rsidR="00BC6359" w:rsidRPr="00BC6359">
        <w:rPr>
          <w:rFonts w:ascii="Times New Roman" w:hAnsi="Times New Roman" w:cs="Times New Roman"/>
          <w:sz w:val="24"/>
          <w:szCs w:val="24"/>
        </w:rPr>
        <w:t>e permanência de pessoas estranhas aos quadros da F</w:t>
      </w:r>
      <w:r w:rsidR="00BC6359">
        <w:rPr>
          <w:rFonts w:ascii="Times New Roman" w:hAnsi="Times New Roman" w:cs="Times New Roman"/>
          <w:sz w:val="24"/>
          <w:szCs w:val="24"/>
        </w:rPr>
        <w:t>unai</w:t>
      </w:r>
      <w:r w:rsidR="00C75785">
        <w:rPr>
          <w:rFonts w:ascii="Times New Roman" w:hAnsi="Times New Roman" w:cs="Times New Roman"/>
          <w:sz w:val="24"/>
          <w:szCs w:val="24"/>
        </w:rPr>
        <w:t xml:space="preserve">, a ser </w:t>
      </w:r>
      <w:r w:rsidR="00C75785" w:rsidRPr="00C75785">
        <w:rPr>
          <w:rFonts w:ascii="Times New Roman" w:hAnsi="Times New Roman" w:cs="Times New Roman"/>
          <w:sz w:val="24"/>
          <w:szCs w:val="24"/>
        </w:rPr>
        <w:t xml:space="preserve">fiscalizada pelas equipes da Frente de Proteção Etnoambiental Waimiri-Atroari/CGIIRC </w:t>
      </w:r>
      <w:r w:rsidR="00C75785">
        <w:rPr>
          <w:rFonts w:ascii="Times New Roman" w:hAnsi="Times New Roman" w:cs="Times New Roman"/>
          <w:sz w:val="24"/>
          <w:szCs w:val="24"/>
        </w:rPr>
        <w:t>–</w:t>
      </w:r>
      <w:r w:rsidR="00C75785" w:rsidRPr="00C75785">
        <w:rPr>
          <w:rFonts w:ascii="Times New Roman" w:hAnsi="Times New Roman" w:cs="Times New Roman"/>
          <w:sz w:val="24"/>
          <w:szCs w:val="24"/>
        </w:rPr>
        <w:t xml:space="preserve"> F</w:t>
      </w:r>
      <w:r w:rsidR="00C75785">
        <w:rPr>
          <w:rFonts w:ascii="Times New Roman" w:hAnsi="Times New Roman" w:cs="Times New Roman"/>
          <w:sz w:val="24"/>
          <w:szCs w:val="24"/>
        </w:rPr>
        <w:t xml:space="preserve">unai. A </w:t>
      </w:r>
      <w:r w:rsidRPr="00A52962">
        <w:rPr>
          <w:rFonts w:ascii="Times New Roman" w:hAnsi="Times New Roman" w:cs="Times New Roman"/>
          <w:color w:val="000000"/>
          <w:sz w:val="24"/>
          <w:szCs w:val="24"/>
        </w:rPr>
        <w:t>Portaria não se aplica às Forças Armadas e Policiais, no cumprimento de suas</w:t>
      </w:r>
      <w:r>
        <w:rPr>
          <w:rFonts w:ascii="Times New Roman" w:hAnsi="Times New Roman" w:cs="Times New Roman"/>
          <w:color w:val="000000"/>
          <w:sz w:val="24"/>
          <w:szCs w:val="24"/>
        </w:rPr>
        <w:t xml:space="preserve"> </w:t>
      </w:r>
      <w:r w:rsidRPr="00A52962">
        <w:rPr>
          <w:rFonts w:ascii="Times New Roman" w:hAnsi="Times New Roman" w:cs="Times New Roman"/>
          <w:color w:val="000000"/>
          <w:sz w:val="24"/>
          <w:szCs w:val="24"/>
        </w:rPr>
        <w:t>funções institucionais, cujo ingresso, locomoção e permanência na área aqui descrita, deverá ser sempre acompanhada por funcionários da</w:t>
      </w:r>
      <w:r>
        <w:rPr>
          <w:rFonts w:ascii="Times New Roman" w:hAnsi="Times New Roman" w:cs="Times New Roman"/>
          <w:color w:val="000000"/>
          <w:sz w:val="24"/>
          <w:szCs w:val="24"/>
        </w:rPr>
        <w:t xml:space="preserve"> Funai. </w:t>
      </w:r>
      <w:r w:rsidR="00C75785">
        <w:rPr>
          <w:rFonts w:ascii="Times New Roman" w:hAnsi="Times New Roman" w:cs="Times New Roman"/>
          <w:color w:val="000000"/>
          <w:sz w:val="24"/>
          <w:szCs w:val="24"/>
        </w:rPr>
        <w:t>A área total regulamentada por esta Portaria é de 43.404 hectares.</w:t>
      </w:r>
    </w:p>
    <w:p w14:paraId="72D32775" w14:textId="1816705B" w:rsidR="00211D64" w:rsidRDefault="00F621C1" w:rsidP="00211D64">
      <w:pPr>
        <w:spacing w:line="360" w:lineRule="auto"/>
        <w:ind w:firstLine="851"/>
        <w:jc w:val="both"/>
        <w:rPr>
          <w:rFonts w:ascii="Times New Roman" w:eastAsia="Times New Roman" w:hAnsi="Times New Roman" w:cs="Times New Roman"/>
          <w:sz w:val="24"/>
          <w:szCs w:val="24"/>
        </w:rPr>
      </w:pPr>
      <w:r w:rsidRPr="00B61543">
        <w:rPr>
          <w:rFonts w:ascii="Times New Roman" w:hAnsi="Times New Roman" w:cs="Times New Roman"/>
          <w:sz w:val="24"/>
          <w:szCs w:val="24"/>
        </w:rPr>
        <w:t>Ao fim do período de três anos da primeira Portaria, foram publicadas outras de igual teor, com prazo de validade de três anos</w:t>
      </w:r>
      <w:r w:rsidR="00211D64">
        <w:rPr>
          <w:rFonts w:ascii="Times New Roman" w:hAnsi="Times New Roman" w:cs="Times New Roman"/>
          <w:sz w:val="24"/>
          <w:szCs w:val="24"/>
        </w:rPr>
        <w:t xml:space="preserve">: </w:t>
      </w:r>
      <w:r w:rsidR="00C75785">
        <w:rPr>
          <w:rFonts w:ascii="Times New Roman" w:eastAsia="Times New Roman" w:hAnsi="Times New Roman" w:cs="Times New Roman"/>
          <w:sz w:val="24"/>
          <w:szCs w:val="24"/>
        </w:rPr>
        <w:t>Portaria No. 1.271 de 22.12.2015, publicada no DOU em 23.12.2015</w:t>
      </w:r>
      <w:r w:rsidR="00211D64">
        <w:rPr>
          <w:rFonts w:ascii="Times New Roman" w:eastAsia="Times New Roman" w:hAnsi="Times New Roman" w:cs="Times New Roman"/>
          <w:sz w:val="24"/>
          <w:szCs w:val="24"/>
        </w:rPr>
        <w:t xml:space="preserve">; </w:t>
      </w:r>
      <w:r w:rsidR="00C75785">
        <w:rPr>
          <w:rFonts w:ascii="Times New Roman" w:eastAsia="Times New Roman" w:hAnsi="Times New Roman" w:cs="Times New Roman"/>
          <w:sz w:val="24"/>
          <w:szCs w:val="24"/>
        </w:rPr>
        <w:t xml:space="preserve">Portaria sem número (Retificação) de 10.03.2016, publicada no DOU em 10.03.2016, que </w:t>
      </w:r>
      <w:r w:rsidR="00CB6285">
        <w:rPr>
          <w:rFonts w:ascii="Times New Roman" w:eastAsia="Times New Roman" w:hAnsi="Times New Roman" w:cs="Times New Roman"/>
          <w:sz w:val="24"/>
          <w:szCs w:val="24"/>
        </w:rPr>
        <w:t>retificou a área total da TI Pirititi para 40.095 hectares</w:t>
      </w:r>
      <w:r w:rsidR="00211D64">
        <w:rPr>
          <w:rFonts w:ascii="Times New Roman" w:eastAsia="Times New Roman" w:hAnsi="Times New Roman" w:cs="Times New Roman"/>
          <w:sz w:val="24"/>
          <w:szCs w:val="24"/>
        </w:rPr>
        <w:t xml:space="preserve">; e </w:t>
      </w:r>
      <w:r w:rsidR="00CB6285">
        <w:rPr>
          <w:rFonts w:ascii="Times New Roman" w:eastAsia="Times New Roman" w:hAnsi="Times New Roman" w:cs="Times New Roman"/>
          <w:sz w:val="24"/>
          <w:szCs w:val="24"/>
        </w:rPr>
        <w:t>Portaria 1.549 de 05.12.2018, publicada no DOU em 14.12.2018, que reestabelece a área total da TI em 43.404 hectares</w:t>
      </w:r>
      <w:r w:rsidR="00211D64">
        <w:rPr>
          <w:rFonts w:ascii="Times New Roman" w:eastAsia="Times New Roman" w:hAnsi="Times New Roman" w:cs="Times New Roman"/>
          <w:sz w:val="24"/>
          <w:szCs w:val="24"/>
        </w:rPr>
        <w:t>.</w:t>
      </w:r>
    </w:p>
    <w:p w14:paraId="2FE115BF" w14:textId="4974A986" w:rsidR="00696BE2" w:rsidRDefault="00696BE2" w:rsidP="00211D64">
      <w:pPr>
        <w:spacing w:line="360" w:lineRule="auto"/>
        <w:ind w:firstLine="851"/>
        <w:jc w:val="both"/>
        <w:rPr>
          <w:rFonts w:ascii="Times New Roman" w:eastAsia="Times New Roman" w:hAnsi="Times New Roman" w:cs="Times New Roman"/>
          <w:sz w:val="24"/>
          <w:szCs w:val="24"/>
        </w:rPr>
      </w:pPr>
      <w:r w:rsidRPr="00317CD7">
        <w:rPr>
          <w:rFonts w:ascii="Times New Roman" w:hAnsi="Times New Roman" w:cs="Times New Roman"/>
          <w:color w:val="000000"/>
          <w:sz w:val="24"/>
          <w:szCs w:val="24"/>
        </w:rPr>
        <w:t xml:space="preserve">Além disso, </w:t>
      </w:r>
      <w:r>
        <w:rPr>
          <w:rFonts w:ascii="Times New Roman" w:hAnsi="Times New Roman" w:cs="Times New Roman"/>
          <w:color w:val="000000"/>
          <w:sz w:val="24"/>
          <w:szCs w:val="24"/>
        </w:rPr>
        <w:t xml:space="preserve">as Portarias expedidas pela Funai </w:t>
      </w:r>
      <w:r w:rsidRPr="00317CD7">
        <w:rPr>
          <w:rFonts w:ascii="Times New Roman" w:hAnsi="Times New Roman" w:cs="Times New Roman"/>
          <w:color w:val="000000"/>
          <w:sz w:val="24"/>
          <w:szCs w:val="24"/>
        </w:rPr>
        <w:t>ved</w:t>
      </w:r>
      <w:r>
        <w:rPr>
          <w:rFonts w:ascii="Times New Roman" w:hAnsi="Times New Roman" w:cs="Times New Roman"/>
          <w:color w:val="000000"/>
          <w:sz w:val="24"/>
          <w:szCs w:val="24"/>
        </w:rPr>
        <w:t xml:space="preserve">aram </w:t>
      </w:r>
      <w:r w:rsidRPr="00317CD7">
        <w:rPr>
          <w:rFonts w:ascii="Times New Roman" w:hAnsi="Times New Roman" w:cs="Times New Roman"/>
          <w:color w:val="000000"/>
          <w:sz w:val="24"/>
          <w:szCs w:val="24"/>
        </w:rPr>
        <w:t xml:space="preserve">a exploração de qualquer recurso natural existente nos </w:t>
      </w:r>
      <w:r>
        <w:rPr>
          <w:rFonts w:ascii="Times New Roman" w:hAnsi="Times New Roman" w:cs="Times New Roman"/>
          <w:color w:val="000000"/>
          <w:sz w:val="24"/>
          <w:szCs w:val="24"/>
        </w:rPr>
        <w:t xml:space="preserve">43.404 </w:t>
      </w:r>
      <w:r w:rsidRPr="00317CD7">
        <w:rPr>
          <w:rFonts w:ascii="Times New Roman" w:hAnsi="Times New Roman" w:cs="Times New Roman"/>
          <w:color w:val="000000"/>
          <w:sz w:val="24"/>
          <w:szCs w:val="24"/>
        </w:rPr>
        <w:t xml:space="preserve">hectares da TI </w:t>
      </w:r>
      <w:r>
        <w:rPr>
          <w:rFonts w:ascii="Times New Roman" w:hAnsi="Times New Roman" w:cs="Times New Roman"/>
          <w:color w:val="000000"/>
          <w:sz w:val="24"/>
          <w:szCs w:val="24"/>
        </w:rPr>
        <w:t>Pirititi</w:t>
      </w:r>
      <w:r w:rsidRPr="00317CD7">
        <w:rPr>
          <w:rFonts w:ascii="Times New Roman" w:hAnsi="Times New Roman" w:cs="Times New Roman"/>
          <w:color w:val="000000"/>
          <w:sz w:val="24"/>
          <w:szCs w:val="24"/>
        </w:rPr>
        <w:t>.</w:t>
      </w:r>
    </w:p>
    <w:p w14:paraId="3FDD15A3" w14:textId="1481245A" w:rsidR="00CB6285" w:rsidRPr="00CB6285" w:rsidRDefault="00211D64" w:rsidP="0054051F">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 2021, o Ministério Público Federal </w:t>
      </w:r>
      <w:r w:rsidR="000A0E27">
        <w:rPr>
          <w:rFonts w:ascii="Times New Roman" w:eastAsia="Times New Roman" w:hAnsi="Times New Roman" w:cs="Times New Roman"/>
          <w:sz w:val="24"/>
          <w:szCs w:val="24"/>
        </w:rPr>
        <w:t xml:space="preserve">(MPF) </w:t>
      </w:r>
      <w:r>
        <w:rPr>
          <w:rFonts w:ascii="Times New Roman" w:eastAsia="Times New Roman" w:hAnsi="Times New Roman" w:cs="Times New Roman"/>
          <w:sz w:val="24"/>
          <w:szCs w:val="24"/>
        </w:rPr>
        <w:t xml:space="preserve">ajuizou uma </w:t>
      </w:r>
      <w:r w:rsidR="0054051F">
        <w:rPr>
          <w:rFonts w:ascii="Times New Roman" w:eastAsia="Times New Roman" w:hAnsi="Times New Roman" w:cs="Times New Roman"/>
          <w:sz w:val="24"/>
          <w:szCs w:val="24"/>
        </w:rPr>
        <w:t>Ação Civil Pública (ACP) em que</w:t>
      </w:r>
      <w:r>
        <w:rPr>
          <w:rFonts w:ascii="Times New Roman" w:eastAsia="Times New Roman" w:hAnsi="Times New Roman" w:cs="Times New Roman"/>
          <w:sz w:val="24"/>
          <w:szCs w:val="24"/>
        </w:rPr>
        <w:t xml:space="preserve"> </w:t>
      </w:r>
      <w:r w:rsidR="00CB6285" w:rsidRPr="00CB6285">
        <w:rPr>
          <w:rFonts w:ascii="Times New Roman" w:eastAsia="Times New Roman" w:hAnsi="Times New Roman" w:cs="Times New Roman"/>
          <w:sz w:val="24"/>
          <w:szCs w:val="24"/>
        </w:rPr>
        <w:t>expede recomendações para proteger povo indígena isolado Pirititi</w:t>
      </w:r>
      <w:r>
        <w:rPr>
          <w:rFonts w:ascii="Times New Roman" w:eastAsia="Times New Roman" w:hAnsi="Times New Roman" w:cs="Times New Roman"/>
          <w:sz w:val="24"/>
          <w:szCs w:val="24"/>
        </w:rPr>
        <w:t xml:space="preserve">, visando a demarcação da TI e determinação de ações de </w:t>
      </w:r>
      <w:r w:rsidR="00CB6285" w:rsidRPr="00CB6285">
        <w:rPr>
          <w:rFonts w:ascii="Times New Roman" w:eastAsia="Times New Roman" w:hAnsi="Times New Roman" w:cs="Times New Roman"/>
          <w:sz w:val="24"/>
          <w:szCs w:val="24"/>
        </w:rPr>
        <w:t>combate às infrações ambientais</w:t>
      </w:r>
      <w:r>
        <w:rPr>
          <w:rFonts w:ascii="Times New Roman" w:eastAsia="Times New Roman" w:hAnsi="Times New Roman" w:cs="Times New Roman"/>
          <w:sz w:val="24"/>
          <w:szCs w:val="24"/>
        </w:rPr>
        <w:t>. A ação relata que</w:t>
      </w:r>
      <w:r w:rsidR="0054051F">
        <w:rPr>
          <w:rFonts w:ascii="Times New Roman" w:eastAsia="Times New Roman" w:hAnsi="Times New Roman" w:cs="Times New Roman"/>
          <w:sz w:val="24"/>
          <w:szCs w:val="24"/>
        </w:rPr>
        <w:t xml:space="preserve">: (i) </w:t>
      </w:r>
      <w:r>
        <w:rPr>
          <w:rFonts w:ascii="Times New Roman" w:eastAsia="Times New Roman" w:hAnsi="Times New Roman" w:cs="Times New Roman"/>
          <w:sz w:val="24"/>
          <w:szCs w:val="24"/>
        </w:rPr>
        <w:t xml:space="preserve">a </w:t>
      </w:r>
      <w:r w:rsidR="00CB6285" w:rsidRPr="00CB6285">
        <w:rPr>
          <w:rFonts w:ascii="Times New Roman" w:eastAsia="Times New Roman" w:hAnsi="Times New Roman" w:cs="Times New Roman"/>
          <w:sz w:val="24"/>
          <w:szCs w:val="24"/>
        </w:rPr>
        <w:t>existência dos Pirititi é ameaçada pelo avanço de madeireiros e grileiros</w:t>
      </w:r>
      <w:r w:rsidR="0054051F">
        <w:rPr>
          <w:rFonts w:ascii="Times New Roman" w:eastAsia="Times New Roman" w:hAnsi="Times New Roman" w:cs="Times New Roman"/>
          <w:sz w:val="24"/>
          <w:szCs w:val="24"/>
        </w:rPr>
        <w:t>; (ii) e</w:t>
      </w:r>
      <w:r w:rsidR="00CB6285" w:rsidRPr="00CB6285">
        <w:rPr>
          <w:rFonts w:ascii="Times New Roman" w:eastAsia="Times New Roman" w:hAnsi="Times New Roman" w:cs="Times New Roman"/>
          <w:sz w:val="24"/>
          <w:szCs w:val="24"/>
        </w:rPr>
        <w:t>m 2018, o Ibama promoveu a maior apreensão de madeira ilegal da história de Roraima (7.387 toras, equivalentes a 15.000 m³), na região dos Pirititi</w:t>
      </w:r>
      <w:r w:rsidR="0054051F">
        <w:rPr>
          <w:rFonts w:ascii="Times New Roman" w:eastAsia="Times New Roman" w:hAnsi="Times New Roman" w:cs="Times New Roman"/>
          <w:sz w:val="24"/>
          <w:szCs w:val="24"/>
        </w:rPr>
        <w:t xml:space="preserve">; (iii) </w:t>
      </w:r>
      <w:r w:rsidR="0054051F" w:rsidRPr="00CB6285">
        <w:rPr>
          <w:rFonts w:ascii="Times New Roman" w:eastAsia="Times New Roman" w:hAnsi="Times New Roman" w:cs="Times New Roman"/>
          <w:sz w:val="24"/>
          <w:szCs w:val="24"/>
        </w:rPr>
        <w:t>os procedimentos para formalização da demarcação da área jamais foram iniciados.</w:t>
      </w:r>
      <w:r w:rsidR="0054051F">
        <w:rPr>
          <w:rFonts w:ascii="Times New Roman" w:eastAsia="Times New Roman" w:hAnsi="Times New Roman" w:cs="Times New Roman"/>
          <w:sz w:val="24"/>
          <w:szCs w:val="24"/>
        </w:rPr>
        <w:t xml:space="preserve"> </w:t>
      </w:r>
      <w:r w:rsidR="00CB6285" w:rsidRPr="00CB6285">
        <w:rPr>
          <w:rFonts w:ascii="Times New Roman" w:eastAsia="Times New Roman" w:hAnsi="Times New Roman" w:cs="Times New Roman"/>
          <w:sz w:val="24"/>
          <w:szCs w:val="24"/>
        </w:rPr>
        <w:t xml:space="preserve">Devido à demora em </w:t>
      </w:r>
      <w:r w:rsidR="0054051F">
        <w:rPr>
          <w:rFonts w:ascii="Times New Roman" w:eastAsia="Times New Roman" w:hAnsi="Times New Roman" w:cs="Times New Roman"/>
          <w:sz w:val="24"/>
          <w:szCs w:val="24"/>
        </w:rPr>
        <w:t xml:space="preserve">regularizar </w:t>
      </w:r>
      <w:r w:rsidR="00CB6285" w:rsidRPr="00CB6285">
        <w:rPr>
          <w:rFonts w:ascii="Times New Roman" w:eastAsia="Times New Roman" w:hAnsi="Times New Roman" w:cs="Times New Roman"/>
          <w:sz w:val="24"/>
          <w:szCs w:val="24"/>
        </w:rPr>
        <w:t>a área, a ACP pede a realização da demarcação num prazo de três anos. Enquanto o procedimento não é concluído, também solicita a prorrogação judicial da portaria de interdição.</w:t>
      </w:r>
      <w:r w:rsidR="0054051F">
        <w:rPr>
          <w:rFonts w:ascii="Times New Roman" w:eastAsia="Times New Roman" w:hAnsi="Times New Roman" w:cs="Times New Roman"/>
          <w:sz w:val="24"/>
          <w:szCs w:val="24"/>
        </w:rPr>
        <w:t xml:space="preserve"> </w:t>
      </w:r>
      <w:r w:rsidR="00CB6285" w:rsidRPr="00CB6285">
        <w:rPr>
          <w:rFonts w:ascii="Times New Roman" w:eastAsia="Times New Roman" w:hAnsi="Times New Roman" w:cs="Times New Roman"/>
          <w:sz w:val="24"/>
          <w:szCs w:val="24"/>
        </w:rPr>
        <w:t xml:space="preserve">Também foram expedidas recomendações ao </w:t>
      </w:r>
      <w:r w:rsidR="0054051F" w:rsidRPr="00CB6285">
        <w:rPr>
          <w:rFonts w:ascii="Times New Roman" w:eastAsia="Times New Roman" w:hAnsi="Times New Roman" w:cs="Times New Roman"/>
          <w:sz w:val="24"/>
          <w:szCs w:val="24"/>
        </w:rPr>
        <w:t xml:space="preserve">Instituto Brasileiro do Meio Ambiente e dos Recursos Naturais Renováveis </w:t>
      </w:r>
      <w:r w:rsidR="0054051F">
        <w:rPr>
          <w:rFonts w:ascii="Times New Roman" w:eastAsia="Times New Roman" w:hAnsi="Times New Roman" w:cs="Times New Roman"/>
          <w:sz w:val="24"/>
          <w:szCs w:val="24"/>
        </w:rPr>
        <w:t>(</w:t>
      </w:r>
      <w:r w:rsidR="0054051F" w:rsidRPr="00CB6285">
        <w:rPr>
          <w:rFonts w:ascii="Times New Roman" w:eastAsia="Times New Roman" w:hAnsi="Times New Roman" w:cs="Times New Roman"/>
          <w:sz w:val="24"/>
          <w:szCs w:val="24"/>
        </w:rPr>
        <w:t>Ibama</w:t>
      </w:r>
      <w:r w:rsidR="0054051F">
        <w:rPr>
          <w:rFonts w:ascii="Times New Roman" w:eastAsia="Times New Roman" w:hAnsi="Times New Roman" w:cs="Times New Roman"/>
          <w:sz w:val="24"/>
          <w:szCs w:val="24"/>
        </w:rPr>
        <w:t>)</w:t>
      </w:r>
      <w:r w:rsidR="0054051F" w:rsidRPr="00CB6285">
        <w:rPr>
          <w:rFonts w:ascii="Times New Roman" w:eastAsia="Times New Roman" w:hAnsi="Times New Roman" w:cs="Times New Roman"/>
          <w:sz w:val="24"/>
          <w:szCs w:val="24"/>
        </w:rPr>
        <w:t xml:space="preserve"> e à Fundação Estadual do Meio Ambiente e Recursos Hídricos </w:t>
      </w:r>
      <w:r w:rsidR="0054051F">
        <w:rPr>
          <w:rFonts w:ascii="Times New Roman" w:eastAsia="Times New Roman" w:hAnsi="Times New Roman" w:cs="Times New Roman"/>
          <w:sz w:val="24"/>
          <w:szCs w:val="24"/>
        </w:rPr>
        <w:t>(</w:t>
      </w:r>
      <w:r w:rsidR="0054051F" w:rsidRPr="00CB6285">
        <w:rPr>
          <w:rFonts w:ascii="Times New Roman" w:eastAsia="Times New Roman" w:hAnsi="Times New Roman" w:cs="Times New Roman"/>
          <w:sz w:val="24"/>
          <w:szCs w:val="24"/>
        </w:rPr>
        <w:t>Femarh</w:t>
      </w:r>
      <w:r w:rsidR="0054051F">
        <w:rPr>
          <w:rFonts w:ascii="Times New Roman" w:eastAsia="Times New Roman" w:hAnsi="Times New Roman" w:cs="Times New Roman"/>
          <w:sz w:val="24"/>
          <w:szCs w:val="24"/>
        </w:rPr>
        <w:t>)</w:t>
      </w:r>
      <w:r w:rsidR="00CB6285" w:rsidRPr="00CB6285">
        <w:rPr>
          <w:rFonts w:ascii="Times New Roman" w:eastAsia="Times New Roman" w:hAnsi="Times New Roman" w:cs="Times New Roman"/>
          <w:sz w:val="24"/>
          <w:szCs w:val="24"/>
        </w:rPr>
        <w:t>, orientando a execução de ações de combate às infrações ambientais e anulação de licenças ilegais em favor de posseiros e grileiros da região.</w:t>
      </w:r>
    </w:p>
    <w:p w14:paraId="72A94E65" w14:textId="344B9948" w:rsidR="00696BE2" w:rsidRDefault="00696BE2" w:rsidP="00696BE2">
      <w:pPr>
        <w:spacing w:line="360" w:lineRule="auto"/>
        <w:ind w:firstLine="851"/>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Os dados </w:t>
      </w:r>
      <w:r w:rsidR="00A36E83">
        <w:rPr>
          <w:rFonts w:ascii="Times New Roman" w:hAnsi="Times New Roman" w:cs="Times New Roman"/>
          <w:color w:val="000000"/>
          <w:sz w:val="24"/>
          <w:szCs w:val="24"/>
        </w:rPr>
        <w:t>ofi</w:t>
      </w:r>
      <w:r>
        <w:rPr>
          <w:rFonts w:ascii="Times New Roman" w:hAnsi="Times New Roman" w:cs="Times New Roman"/>
          <w:color w:val="000000"/>
          <w:sz w:val="24"/>
          <w:szCs w:val="24"/>
        </w:rPr>
        <w:t xml:space="preserve">ciais do PRODES/INPE mostram que até julho de 2020 já foram desmatados </w:t>
      </w:r>
      <w:r w:rsidR="00A36E83">
        <w:rPr>
          <w:rFonts w:ascii="Times New Roman" w:hAnsi="Times New Roman" w:cs="Times New Roman"/>
          <w:color w:val="000000"/>
          <w:sz w:val="24"/>
          <w:szCs w:val="24"/>
        </w:rPr>
        <w:t xml:space="preserve">477,60 </w:t>
      </w:r>
      <w:r>
        <w:rPr>
          <w:rFonts w:ascii="Times New Roman" w:hAnsi="Times New Roman" w:cs="Times New Roman"/>
          <w:color w:val="000000"/>
          <w:sz w:val="24"/>
          <w:szCs w:val="24"/>
        </w:rPr>
        <w:t>hectares no interior da TI</w:t>
      </w:r>
      <w:r w:rsidR="00A36E83">
        <w:rPr>
          <w:rFonts w:ascii="Times New Roman" w:hAnsi="Times New Roman" w:cs="Times New Roman"/>
          <w:color w:val="000000"/>
          <w:sz w:val="24"/>
          <w:szCs w:val="24"/>
        </w:rPr>
        <w:t xml:space="preserve">. Entretanto, </w:t>
      </w:r>
      <w:r w:rsidR="00A36E83" w:rsidRPr="00B05DE2">
        <w:rPr>
          <w:rFonts w:ascii="Times New Roman" w:eastAsia="Times New Roman" w:hAnsi="Times New Roman" w:cs="Times New Roman"/>
          <w:bCs/>
          <w:sz w:val="24"/>
          <w:szCs w:val="24"/>
        </w:rPr>
        <w:t>o</w:t>
      </w:r>
      <w:r w:rsidR="00A36E83">
        <w:rPr>
          <w:rFonts w:ascii="Times New Roman" w:eastAsia="Times New Roman" w:hAnsi="Times New Roman" w:cs="Times New Roman"/>
          <w:bCs/>
          <w:sz w:val="24"/>
          <w:szCs w:val="24"/>
        </w:rPr>
        <w:t xml:space="preserve"> sistema de monitoramento independente do Instituto Socioambiental (SIRAD)</w:t>
      </w:r>
      <w:r w:rsidR="00A36E83">
        <w:rPr>
          <w:rStyle w:val="Refdenotaderodap"/>
          <w:rFonts w:ascii="Times New Roman" w:eastAsia="Times New Roman" w:hAnsi="Times New Roman" w:cs="Times New Roman"/>
          <w:bCs/>
          <w:sz w:val="24"/>
          <w:szCs w:val="24"/>
        </w:rPr>
        <w:footnoteReference w:id="16"/>
      </w:r>
      <w:r w:rsidR="00A36E83">
        <w:rPr>
          <w:rFonts w:ascii="Times New Roman" w:eastAsia="Times New Roman" w:hAnsi="Times New Roman" w:cs="Times New Roman"/>
          <w:bCs/>
          <w:sz w:val="24"/>
          <w:szCs w:val="24"/>
        </w:rPr>
        <w:t xml:space="preserve">, que utiliza dados históricos </w:t>
      </w:r>
      <w:r w:rsidR="00A36E83" w:rsidRPr="00B05DE2">
        <w:rPr>
          <w:rFonts w:ascii="Times New Roman" w:eastAsia="Times New Roman" w:hAnsi="Times New Roman" w:cs="Times New Roman"/>
          <w:bCs/>
          <w:sz w:val="24"/>
          <w:szCs w:val="24"/>
        </w:rPr>
        <w:t xml:space="preserve">do </w:t>
      </w:r>
      <w:r w:rsidR="00A36E83">
        <w:rPr>
          <w:rFonts w:ascii="Times New Roman" w:eastAsia="Times New Roman" w:hAnsi="Times New Roman" w:cs="Times New Roman"/>
          <w:bCs/>
          <w:sz w:val="24"/>
          <w:szCs w:val="24"/>
        </w:rPr>
        <w:t xml:space="preserve">sistema </w:t>
      </w:r>
      <w:r w:rsidR="00A36E83" w:rsidRPr="00B05DE2">
        <w:rPr>
          <w:rFonts w:ascii="Times New Roman" w:eastAsia="Times New Roman" w:hAnsi="Times New Roman" w:cs="Times New Roman"/>
          <w:bCs/>
          <w:sz w:val="24"/>
          <w:szCs w:val="24"/>
        </w:rPr>
        <w:t>PRODES</w:t>
      </w:r>
      <w:r w:rsidR="00A36E83">
        <w:rPr>
          <w:rFonts w:ascii="Times New Roman" w:eastAsia="Times New Roman" w:hAnsi="Times New Roman" w:cs="Times New Roman"/>
          <w:bCs/>
          <w:sz w:val="24"/>
          <w:szCs w:val="24"/>
        </w:rPr>
        <w:t xml:space="preserve"> (INPE) e imagens recentes de satélite de alta resolução (anos de 2020 e 2021), </w:t>
      </w:r>
      <w:r w:rsidR="00A36E83">
        <w:rPr>
          <w:rFonts w:ascii="Times New Roman" w:eastAsia="Times New Roman" w:hAnsi="Times New Roman" w:cs="Times New Roman"/>
          <w:bCs/>
          <w:sz w:val="24"/>
          <w:szCs w:val="24"/>
        </w:rPr>
        <w:t xml:space="preserve">já </w:t>
      </w:r>
      <w:r w:rsidR="00A36E83" w:rsidRPr="00B05DE2">
        <w:rPr>
          <w:rFonts w:ascii="Times New Roman" w:eastAsia="Times New Roman" w:hAnsi="Times New Roman" w:cs="Times New Roman"/>
          <w:bCs/>
          <w:sz w:val="24"/>
          <w:szCs w:val="24"/>
        </w:rPr>
        <w:t>registr</w:t>
      </w:r>
      <w:r w:rsidR="00A36E83">
        <w:rPr>
          <w:rFonts w:ascii="Times New Roman" w:eastAsia="Times New Roman" w:hAnsi="Times New Roman" w:cs="Times New Roman"/>
          <w:bCs/>
          <w:sz w:val="24"/>
          <w:szCs w:val="24"/>
        </w:rPr>
        <w:t>ou</w:t>
      </w:r>
      <w:r w:rsidR="00A36E83">
        <w:rPr>
          <w:rFonts w:ascii="Times New Roman" w:eastAsia="Times New Roman" w:hAnsi="Times New Roman" w:cs="Times New Roman"/>
          <w:bCs/>
          <w:sz w:val="24"/>
          <w:szCs w:val="24"/>
        </w:rPr>
        <w:t xml:space="preserve"> um desmatamento acumulado, até hoje, de </w:t>
      </w:r>
      <w:r w:rsidR="00245554">
        <w:rPr>
          <w:rFonts w:ascii="Times New Roman" w:eastAsia="Times New Roman" w:hAnsi="Times New Roman" w:cs="Times New Roman"/>
          <w:bCs/>
          <w:sz w:val="24"/>
          <w:szCs w:val="24"/>
        </w:rPr>
        <w:t xml:space="preserve">1.240,3 hectares, </w:t>
      </w:r>
      <w:r>
        <w:rPr>
          <w:rFonts w:ascii="Times New Roman" w:hAnsi="Times New Roman" w:cs="Times New Roman"/>
          <w:color w:val="000000"/>
          <w:sz w:val="24"/>
          <w:szCs w:val="24"/>
        </w:rPr>
        <w:t xml:space="preserve">o que corresponde a </w:t>
      </w:r>
      <w:r w:rsidR="00245554">
        <w:rPr>
          <w:rFonts w:ascii="Times New Roman" w:hAnsi="Times New Roman" w:cs="Times New Roman"/>
          <w:color w:val="000000"/>
          <w:sz w:val="24"/>
          <w:szCs w:val="24"/>
        </w:rPr>
        <w:t xml:space="preserve">713 mil </w:t>
      </w:r>
      <w:r>
        <w:rPr>
          <w:rFonts w:ascii="Times New Roman" w:hAnsi="Times New Roman" w:cs="Times New Roman"/>
          <w:color w:val="000000"/>
          <w:sz w:val="24"/>
          <w:szCs w:val="24"/>
        </w:rPr>
        <w:t>árvores derrubadas.</w:t>
      </w:r>
    </w:p>
    <w:p w14:paraId="20E8A690" w14:textId="77777777" w:rsidR="000949C1" w:rsidRDefault="00696BE2" w:rsidP="000949C1">
      <w:pPr>
        <w:pStyle w:val="Default"/>
        <w:spacing w:line="360" w:lineRule="auto"/>
        <w:ind w:firstLine="851"/>
        <w:jc w:val="both"/>
        <w:rPr>
          <w:rFonts w:ascii="Times New Roman" w:hAnsi="Times New Roman" w:cs="Times New Roman"/>
        </w:rPr>
      </w:pPr>
      <w:r>
        <w:rPr>
          <w:rFonts w:ascii="Times New Roman" w:eastAsia="Times New Roman" w:hAnsi="Times New Roman" w:cs="Times New Roman"/>
        </w:rPr>
        <w:t xml:space="preserve">A Figura </w:t>
      </w:r>
      <w:r w:rsidR="00EC24AD">
        <w:rPr>
          <w:rFonts w:ascii="Times New Roman" w:eastAsia="Times New Roman" w:hAnsi="Times New Roman" w:cs="Times New Roman"/>
        </w:rPr>
        <w:t>3</w:t>
      </w:r>
      <w:r>
        <w:rPr>
          <w:rFonts w:ascii="Times New Roman" w:eastAsia="Times New Roman" w:hAnsi="Times New Roman" w:cs="Times New Roman"/>
        </w:rPr>
        <w:t xml:space="preserve"> abaixo mostra como os períodos que antecedem o término de vigência/renovação das Portarias de Restrição de Uso apresentam registros de desmatamento, fruto da ausência de operações de fiscalização, bem como da </w:t>
      </w:r>
      <w:r w:rsidRPr="00317CD7">
        <w:rPr>
          <w:rFonts w:ascii="Times New Roman" w:hAnsi="Times New Roman" w:cs="Times New Roman"/>
        </w:rPr>
        <w:t>expectativa e especulaç</w:t>
      </w:r>
      <w:r>
        <w:rPr>
          <w:rFonts w:ascii="Times New Roman" w:hAnsi="Times New Roman" w:cs="Times New Roman"/>
        </w:rPr>
        <w:t xml:space="preserve">ão dos invasores </w:t>
      </w:r>
      <w:r w:rsidRPr="00317CD7">
        <w:rPr>
          <w:rFonts w:ascii="Times New Roman" w:hAnsi="Times New Roman" w:cs="Times New Roman"/>
        </w:rPr>
        <w:t>sobre a não renovação</w:t>
      </w:r>
      <w:r>
        <w:rPr>
          <w:rFonts w:ascii="Times New Roman" w:hAnsi="Times New Roman" w:cs="Times New Roman"/>
        </w:rPr>
        <w:t xml:space="preserve"> das Portarias.</w:t>
      </w:r>
      <w:r w:rsidR="00EC24AD">
        <w:rPr>
          <w:rFonts w:ascii="Times New Roman" w:hAnsi="Times New Roman" w:cs="Times New Roman"/>
        </w:rPr>
        <w:t xml:space="preserve"> O gráfico do desmatamento abaixo mostra que a regulamentação das Portarias de Restrição de Uso não combate ao desmatamento ilegal, pois mesmo com a regulamentação da fiscalização a retirada ilegal de madeira ainda ocorre no interior da TI.</w:t>
      </w:r>
    </w:p>
    <w:p w14:paraId="3CDFDFB7" w14:textId="38AEDEA4" w:rsidR="00F621C1" w:rsidRDefault="00F621C1" w:rsidP="00F621C1">
      <w:pPr>
        <w:suppressAutoHyphens w:val="0"/>
        <w:overflowPunct/>
        <w:autoSpaceDE w:val="0"/>
        <w:autoSpaceDN w:val="0"/>
        <w:adjustRightInd w:val="0"/>
        <w:spacing w:line="360" w:lineRule="auto"/>
        <w:jc w:val="both"/>
        <w:rPr>
          <w:rFonts w:ascii="Times New Roman" w:eastAsia="Times New Roman" w:hAnsi="Times New Roman" w:cs="Times New Roman"/>
          <w:sz w:val="24"/>
          <w:szCs w:val="24"/>
        </w:rPr>
      </w:pPr>
    </w:p>
    <w:p w14:paraId="43170D4B" w14:textId="6086CB6B" w:rsidR="00EC24AD" w:rsidRDefault="00EC24AD" w:rsidP="00F621C1">
      <w:pPr>
        <w:suppressAutoHyphens w:val="0"/>
        <w:overflowPunct/>
        <w:autoSpaceDE w:val="0"/>
        <w:autoSpaceDN w:val="0"/>
        <w:adjustRightInd w:val="0"/>
        <w:spacing w:line="360" w:lineRule="auto"/>
        <w:jc w:val="both"/>
        <w:rPr>
          <w:rFonts w:ascii="Times New Roman" w:eastAsia="Times New Roman" w:hAnsi="Times New Roman" w:cs="Times New Roman"/>
          <w:sz w:val="24"/>
          <w:szCs w:val="24"/>
        </w:rPr>
      </w:pPr>
      <w:r>
        <w:rPr>
          <w:noProof/>
        </w:rPr>
        <w:drawing>
          <wp:inline distT="0" distB="0" distL="0" distR="0" wp14:anchorId="4B857B38" wp14:editId="32F4AD89">
            <wp:extent cx="5731510" cy="3905885"/>
            <wp:effectExtent l="0" t="0" r="2540" b="0"/>
            <wp:docPr id="14" name="Imagem 14" descr="Gráfico, Gráfico de linh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descr="Gráfico, Gráfico de linhas&#10;&#10;Descrição gerada automa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905885"/>
                    </a:xfrm>
                    <a:prstGeom prst="rect">
                      <a:avLst/>
                    </a:prstGeom>
                    <a:noFill/>
                    <a:ln>
                      <a:noFill/>
                    </a:ln>
                  </pic:spPr>
                </pic:pic>
              </a:graphicData>
            </a:graphic>
          </wp:inline>
        </w:drawing>
      </w:r>
    </w:p>
    <w:p w14:paraId="2C7872DB" w14:textId="6303852A" w:rsidR="00EC24AD" w:rsidRPr="00642FFC" w:rsidRDefault="00EC24AD" w:rsidP="00EC24AD">
      <w:pPr>
        <w:pStyle w:val="Default"/>
        <w:jc w:val="center"/>
        <w:rPr>
          <w:rFonts w:ascii="Times New Roman" w:eastAsia="Times New Roman" w:hAnsi="Times New Roman" w:cs="Times New Roman"/>
          <w:sz w:val="22"/>
          <w:szCs w:val="22"/>
        </w:rPr>
      </w:pPr>
      <w:r w:rsidRPr="002E7B75">
        <w:rPr>
          <w:rFonts w:ascii="Times New Roman" w:eastAsia="Times New Roman" w:hAnsi="Times New Roman" w:cs="Times New Roman"/>
          <w:sz w:val="22"/>
          <w:szCs w:val="22"/>
        </w:rPr>
        <w:t xml:space="preserve">Figura </w:t>
      </w:r>
      <w:r>
        <w:rPr>
          <w:rFonts w:ascii="Times New Roman" w:eastAsia="Times New Roman" w:hAnsi="Times New Roman" w:cs="Times New Roman"/>
          <w:sz w:val="22"/>
          <w:szCs w:val="22"/>
        </w:rPr>
        <w:t>3</w:t>
      </w:r>
      <w:r w:rsidRPr="002E7B75">
        <w:rPr>
          <w:rFonts w:ascii="Times New Roman" w:eastAsia="Times New Roman" w:hAnsi="Times New Roman" w:cs="Times New Roman"/>
          <w:sz w:val="22"/>
          <w:szCs w:val="22"/>
        </w:rPr>
        <w:t xml:space="preserve">. Desmatamento na TI </w:t>
      </w:r>
      <w:r>
        <w:rPr>
          <w:rFonts w:ascii="Times New Roman" w:eastAsia="Times New Roman" w:hAnsi="Times New Roman" w:cs="Times New Roman"/>
          <w:sz w:val="22"/>
          <w:szCs w:val="22"/>
        </w:rPr>
        <w:t xml:space="preserve">Pirititi </w:t>
      </w:r>
      <w:r w:rsidRPr="002E7B75">
        <w:rPr>
          <w:rFonts w:ascii="Times New Roman" w:eastAsia="Times New Roman" w:hAnsi="Times New Roman" w:cs="Times New Roman"/>
          <w:sz w:val="22"/>
          <w:szCs w:val="22"/>
        </w:rPr>
        <w:t>entre 2008 a 202</w:t>
      </w:r>
      <w:r>
        <w:rPr>
          <w:rFonts w:ascii="Times New Roman" w:eastAsia="Times New Roman" w:hAnsi="Times New Roman" w:cs="Times New Roman"/>
          <w:sz w:val="22"/>
          <w:szCs w:val="22"/>
        </w:rPr>
        <w:t>0</w:t>
      </w:r>
      <w:r w:rsidRPr="002E7B75">
        <w:rPr>
          <w:rFonts w:ascii="Times New Roman" w:eastAsia="Times New Roman" w:hAnsi="Times New Roman" w:cs="Times New Roman"/>
          <w:sz w:val="22"/>
          <w:szCs w:val="22"/>
        </w:rPr>
        <w:t>. As setas em vermelho indicam o ano de término de vigência</w:t>
      </w:r>
      <w:r>
        <w:rPr>
          <w:rFonts w:ascii="Times New Roman" w:eastAsia="Times New Roman" w:hAnsi="Times New Roman" w:cs="Times New Roman"/>
          <w:sz w:val="22"/>
          <w:szCs w:val="22"/>
        </w:rPr>
        <w:t>/renovação</w:t>
      </w:r>
      <w:r w:rsidRPr="002E7B75">
        <w:rPr>
          <w:rFonts w:ascii="Times New Roman" w:eastAsia="Times New Roman" w:hAnsi="Times New Roman" w:cs="Times New Roman"/>
          <w:sz w:val="22"/>
          <w:szCs w:val="22"/>
        </w:rPr>
        <w:t xml:space="preserve"> das Portarias de Restrição de Uso. Fonte: PRODES/INPE.</w:t>
      </w:r>
    </w:p>
    <w:p w14:paraId="2E36B51E" w14:textId="77777777" w:rsidR="00EC24AD" w:rsidRDefault="00EC24AD" w:rsidP="00F621C1">
      <w:pPr>
        <w:suppressAutoHyphens w:val="0"/>
        <w:overflowPunct/>
        <w:autoSpaceDE w:val="0"/>
        <w:autoSpaceDN w:val="0"/>
        <w:adjustRightInd w:val="0"/>
        <w:spacing w:line="360" w:lineRule="auto"/>
        <w:jc w:val="both"/>
        <w:rPr>
          <w:rFonts w:ascii="Times New Roman" w:eastAsia="Times New Roman" w:hAnsi="Times New Roman" w:cs="Times New Roman"/>
          <w:sz w:val="24"/>
          <w:szCs w:val="24"/>
        </w:rPr>
      </w:pPr>
    </w:p>
    <w:p w14:paraId="04CC4EE1" w14:textId="60A3FB83" w:rsidR="000077A3" w:rsidRDefault="000949C1" w:rsidP="000077A3">
      <w:pPr>
        <w:pStyle w:val="Default"/>
        <w:spacing w:line="360" w:lineRule="auto"/>
        <w:ind w:firstLine="851"/>
        <w:jc w:val="both"/>
        <w:rPr>
          <w:rFonts w:ascii="Times New Roman" w:hAnsi="Times New Roman" w:cs="Times New Roman"/>
        </w:rPr>
      </w:pPr>
      <w:r>
        <w:rPr>
          <w:rFonts w:ascii="Times New Roman" w:hAnsi="Times New Roman" w:cs="Times New Roman"/>
        </w:rPr>
        <w:t xml:space="preserve">O sistema SIRAD de monitoramento independente do Instituto Socioambiental </w:t>
      </w:r>
      <w:r w:rsidRPr="000949C1">
        <w:rPr>
          <w:rFonts w:ascii="Times New Roman" w:hAnsi="Times New Roman" w:cs="Times New Roman"/>
        </w:rPr>
        <w:t xml:space="preserve">Fizemos </w:t>
      </w:r>
      <w:r>
        <w:rPr>
          <w:rFonts w:ascii="Times New Roman" w:hAnsi="Times New Roman" w:cs="Times New Roman"/>
        </w:rPr>
        <w:t xml:space="preserve">vem registrando invasões e desmatamentos no interior da TI Pirititi desde o início de 2020. Em janeiro de 2020, foi identificado a abertura de um ramal </w:t>
      </w:r>
      <w:r w:rsidRPr="000949C1">
        <w:rPr>
          <w:rFonts w:ascii="Times New Roman" w:hAnsi="Times New Roman" w:cs="Times New Roman"/>
          <w:bCs/>
        </w:rPr>
        <w:t>no interior da T</w:t>
      </w:r>
      <w:r>
        <w:rPr>
          <w:rFonts w:ascii="Times New Roman" w:hAnsi="Times New Roman" w:cs="Times New Roman"/>
          <w:bCs/>
        </w:rPr>
        <w:t xml:space="preserve">I </w:t>
      </w:r>
      <w:r w:rsidRPr="000949C1">
        <w:rPr>
          <w:rFonts w:ascii="Times New Roman" w:hAnsi="Times New Roman" w:cs="Times New Roman"/>
          <w:bCs/>
        </w:rPr>
        <w:t>Pirititi.</w:t>
      </w:r>
      <w:r w:rsidRPr="000949C1">
        <w:rPr>
          <w:rFonts w:ascii="Times New Roman" w:hAnsi="Times New Roman" w:cs="Times New Roman"/>
        </w:rPr>
        <w:t xml:space="preserve"> As imagens de satélite confirmam que a abertura do ramal começou a se intensificar em </w:t>
      </w:r>
      <w:r w:rsidR="005D0E68">
        <w:rPr>
          <w:rFonts w:ascii="Times New Roman" w:hAnsi="Times New Roman" w:cs="Times New Roman"/>
        </w:rPr>
        <w:t>j</w:t>
      </w:r>
      <w:r w:rsidRPr="000949C1">
        <w:rPr>
          <w:rFonts w:ascii="Times New Roman" w:hAnsi="Times New Roman" w:cs="Times New Roman"/>
        </w:rPr>
        <w:t xml:space="preserve">aneiro de 2020 (Figura </w:t>
      </w:r>
      <w:r>
        <w:rPr>
          <w:rFonts w:ascii="Times New Roman" w:hAnsi="Times New Roman" w:cs="Times New Roman"/>
        </w:rPr>
        <w:t>4</w:t>
      </w:r>
      <w:r w:rsidRPr="000949C1">
        <w:rPr>
          <w:rFonts w:ascii="Times New Roman" w:hAnsi="Times New Roman" w:cs="Times New Roman"/>
        </w:rPr>
        <w:t xml:space="preserve">). As imagens de </w:t>
      </w:r>
      <w:r>
        <w:rPr>
          <w:rFonts w:ascii="Times New Roman" w:hAnsi="Times New Roman" w:cs="Times New Roman"/>
        </w:rPr>
        <w:t>f</w:t>
      </w:r>
      <w:r w:rsidRPr="000949C1">
        <w:rPr>
          <w:rFonts w:ascii="Times New Roman" w:hAnsi="Times New Roman" w:cs="Times New Roman"/>
        </w:rPr>
        <w:t xml:space="preserve">evereiro e </w:t>
      </w:r>
      <w:r>
        <w:rPr>
          <w:rFonts w:ascii="Times New Roman" w:hAnsi="Times New Roman" w:cs="Times New Roman"/>
        </w:rPr>
        <w:t>m</w:t>
      </w:r>
      <w:r w:rsidRPr="000949C1">
        <w:rPr>
          <w:rFonts w:ascii="Times New Roman" w:hAnsi="Times New Roman" w:cs="Times New Roman"/>
        </w:rPr>
        <w:t xml:space="preserve">arço de 2020 mostram claramente o avanço do desmatamento ao longo do ramal para delimitação e abertura de lotes (Figuras </w:t>
      </w:r>
      <w:r>
        <w:rPr>
          <w:rFonts w:ascii="Times New Roman" w:hAnsi="Times New Roman" w:cs="Times New Roman"/>
        </w:rPr>
        <w:t>5</w:t>
      </w:r>
      <w:r w:rsidRPr="000949C1">
        <w:rPr>
          <w:rFonts w:ascii="Times New Roman" w:hAnsi="Times New Roman" w:cs="Times New Roman"/>
        </w:rPr>
        <w:t xml:space="preserve"> e </w:t>
      </w:r>
      <w:r>
        <w:rPr>
          <w:rFonts w:ascii="Times New Roman" w:hAnsi="Times New Roman" w:cs="Times New Roman"/>
        </w:rPr>
        <w:t>6</w:t>
      </w:r>
      <w:r w:rsidRPr="000949C1">
        <w:rPr>
          <w:rFonts w:ascii="Times New Roman" w:hAnsi="Times New Roman" w:cs="Times New Roman"/>
        </w:rPr>
        <w:t>).</w:t>
      </w:r>
    </w:p>
    <w:p w14:paraId="30C993DF" w14:textId="77777777" w:rsidR="000949C1" w:rsidRPr="000949C1" w:rsidRDefault="000949C1" w:rsidP="000949C1">
      <w:pPr>
        <w:spacing w:after="160" w:line="259" w:lineRule="auto"/>
        <w:jc w:val="both"/>
        <w:rPr>
          <w:rFonts w:ascii="Times New Roman" w:hAnsi="Times New Roman" w:cs="Times New Roman"/>
          <w:color w:val="222222"/>
          <w:sz w:val="24"/>
          <w:szCs w:val="24"/>
        </w:rPr>
      </w:pPr>
    </w:p>
    <w:p w14:paraId="403A8E8E" w14:textId="1949D609" w:rsidR="000949C1" w:rsidRPr="000949C1" w:rsidRDefault="000949C1" w:rsidP="000949C1">
      <w:pPr>
        <w:spacing w:line="259" w:lineRule="auto"/>
        <w:jc w:val="center"/>
        <w:rPr>
          <w:rFonts w:ascii="Times New Roman" w:hAnsi="Times New Roman" w:cs="Times New Roman"/>
          <w:color w:val="222222"/>
          <w:sz w:val="24"/>
          <w:szCs w:val="24"/>
        </w:rPr>
      </w:pPr>
      <w:r w:rsidRPr="000949C1">
        <w:rPr>
          <w:rFonts w:ascii="Times New Roman" w:hAnsi="Times New Roman" w:cs="Times New Roman"/>
          <w:noProof/>
          <w:color w:val="222222"/>
          <w:sz w:val="24"/>
          <w:szCs w:val="24"/>
        </w:rPr>
        <w:drawing>
          <wp:inline distT="0" distB="0" distL="0" distR="0" wp14:anchorId="35D09A37" wp14:editId="449167D9">
            <wp:extent cx="5505450" cy="2895600"/>
            <wp:effectExtent l="0" t="0" r="0" b="0"/>
            <wp:docPr id="21" name="Imagem 21" descr="Pipa no ar&#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m 21" descr="Pipa no ar&#10;&#10;Descrição gerada automaticamente com confiança médi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05450" cy="2895600"/>
                    </a:xfrm>
                    <a:prstGeom prst="rect">
                      <a:avLst/>
                    </a:prstGeom>
                    <a:noFill/>
                    <a:ln>
                      <a:noFill/>
                    </a:ln>
                  </pic:spPr>
                </pic:pic>
              </a:graphicData>
            </a:graphic>
          </wp:inline>
        </w:drawing>
      </w:r>
    </w:p>
    <w:p w14:paraId="217BAE70" w14:textId="2C8FE54B" w:rsidR="000949C1" w:rsidRPr="000949C1" w:rsidRDefault="000949C1" w:rsidP="000949C1">
      <w:pPr>
        <w:spacing w:after="160" w:line="259" w:lineRule="auto"/>
        <w:jc w:val="center"/>
        <w:rPr>
          <w:rFonts w:ascii="Times New Roman" w:hAnsi="Times New Roman" w:cs="Times New Roman"/>
        </w:rPr>
      </w:pPr>
      <w:r w:rsidRPr="000949C1">
        <w:rPr>
          <w:rFonts w:ascii="Times New Roman" w:hAnsi="Times New Roman" w:cs="Times New Roman"/>
        </w:rPr>
        <w:t xml:space="preserve">Figura </w:t>
      </w:r>
      <w:r w:rsidRPr="000949C1">
        <w:rPr>
          <w:rFonts w:ascii="Times New Roman" w:hAnsi="Times New Roman" w:cs="Times New Roman"/>
        </w:rPr>
        <w:t>4</w:t>
      </w:r>
      <w:r w:rsidRPr="000949C1">
        <w:rPr>
          <w:rFonts w:ascii="Times New Roman" w:hAnsi="Times New Roman" w:cs="Times New Roman"/>
        </w:rPr>
        <w:t xml:space="preserve">. Área denunciada em imagem Planet do mês de </w:t>
      </w:r>
      <w:r>
        <w:rPr>
          <w:rFonts w:ascii="Times New Roman" w:hAnsi="Times New Roman" w:cs="Times New Roman"/>
        </w:rPr>
        <w:t>j</w:t>
      </w:r>
      <w:r w:rsidRPr="000949C1">
        <w:rPr>
          <w:rFonts w:ascii="Times New Roman" w:hAnsi="Times New Roman" w:cs="Times New Roman"/>
        </w:rPr>
        <w:t xml:space="preserve">aneiro de 2020, ponto de coordenada central: -60.490805, 0.006658 (Fonte: </w:t>
      </w:r>
      <w:r w:rsidRPr="000949C1">
        <w:rPr>
          <w:rFonts w:ascii="Times New Roman" w:hAnsi="Times New Roman" w:cs="Times New Roman"/>
          <w:highlight w:val="white"/>
        </w:rPr>
        <w:t>MapBiomas/imagens Planet)</w:t>
      </w:r>
    </w:p>
    <w:p w14:paraId="20DFB1CA" w14:textId="77777777" w:rsidR="000949C1" w:rsidRPr="000949C1" w:rsidRDefault="000949C1" w:rsidP="000949C1">
      <w:pPr>
        <w:spacing w:after="160" w:line="259" w:lineRule="auto"/>
        <w:jc w:val="both"/>
        <w:rPr>
          <w:rFonts w:ascii="Times New Roman" w:hAnsi="Times New Roman" w:cs="Times New Roman"/>
          <w:color w:val="222222"/>
          <w:sz w:val="24"/>
          <w:szCs w:val="24"/>
        </w:rPr>
      </w:pPr>
    </w:p>
    <w:p w14:paraId="63F66065" w14:textId="0DCA1AC7" w:rsidR="000949C1" w:rsidRPr="000949C1" w:rsidRDefault="000949C1" w:rsidP="000949C1">
      <w:pPr>
        <w:jc w:val="center"/>
        <w:rPr>
          <w:rFonts w:ascii="Times New Roman" w:hAnsi="Times New Roman" w:cs="Times New Roman"/>
          <w:color w:val="222222"/>
          <w:sz w:val="24"/>
          <w:szCs w:val="24"/>
        </w:rPr>
      </w:pPr>
      <w:r w:rsidRPr="000949C1">
        <w:rPr>
          <w:rFonts w:ascii="Times New Roman" w:hAnsi="Times New Roman" w:cs="Times New Roman"/>
          <w:noProof/>
          <w:color w:val="222222"/>
          <w:sz w:val="24"/>
          <w:szCs w:val="24"/>
        </w:rPr>
        <w:drawing>
          <wp:inline distT="0" distB="0" distL="0" distR="0" wp14:anchorId="1EB90507" wp14:editId="22D984D8">
            <wp:extent cx="5591175" cy="2857500"/>
            <wp:effectExtent l="0" t="0" r="9525" b="0"/>
            <wp:docPr id="20" name="Imagem 20" descr="Uma imagem contendo grama, ao ar livre, pipa, homem&#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m 20" descr="Uma imagem contendo grama, ao ar livre, pipa, homem&#10;&#10;Descrição gerada automa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91175" cy="2857500"/>
                    </a:xfrm>
                    <a:prstGeom prst="rect">
                      <a:avLst/>
                    </a:prstGeom>
                    <a:noFill/>
                    <a:ln>
                      <a:noFill/>
                    </a:ln>
                  </pic:spPr>
                </pic:pic>
              </a:graphicData>
            </a:graphic>
          </wp:inline>
        </w:drawing>
      </w:r>
    </w:p>
    <w:p w14:paraId="7DDCF567" w14:textId="1A8B4290" w:rsidR="000949C1" w:rsidRPr="000949C1" w:rsidRDefault="000949C1" w:rsidP="000949C1">
      <w:pPr>
        <w:spacing w:after="160" w:line="259" w:lineRule="auto"/>
        <w:jc w:val="center"/>
        <w:rPr>
          <w:rFonts w:ascii="Times New Roman" w:hAnsi="Times New Roman" w:cs="Times New Roman"/>
        </w:rPr>
      </w:pPr>
      <w:r w:rsidRPr="000949C1">
        <w:rPr>
          <w:rFonts w:ascii="Times New Roman" w:hAnsi="Times New Roman" w:cs="Times New Roman"/>
        </w:rPr>
        <w:t xml:space="preserve">Figura </w:t>
      </w:r>
      <w:r w:rsidRPr="000949C1">
        <w:rPr>
          <w:rFonts w:ascii="Times New Roman" w:hAnsi="Times New Roman" w:cs="Times New Roman"/>
        </w:rPr>
        <w:t>5</w:t>
      </w:r>
      <w:r w:rsidRPr="000949C1">
        <w:rPr>
          <w:rFonts w:ascii="Times New Roman" w:hAnsi="Times New Roman" w:cs="Times New Roman"/>
        </w:rPr>
        <w:t xml:space="preserve">. Área denunciada em imagem Planet do mês de </w:t>
      </w:r>
      <w:r>
        <w:rPr>
          <w:rFonts w:ascii="Times New Roman" w:hAnsi="Times New Roman" w:cs="Times New Roman"/>
        </w:rPr>
        <w:t>f</w:t>
      </w:r>
      <w:r w:rsidRPr="000949C1">
        <w:rPr>
          <w:rFonts w:ascii="Times New Roman" w:hAnsi="Times New Roman" w:cs="Times New Roman"/>
        </w:rPr>
        <w:t xml:space="preserve">evereiro de 2020, ponto de coordenada central: -60.490805, 0.006658 (Fonte: </w:t>
      </w:r>
      <w:r w:rsidRPr="000949C1">
        <w:rPr>
          <w:rFonts w:ascii="Times New Roman" w:hAnsi="Times New Roman" w:cs="Times New Roman"/>
          <w:highlight w:val="white"/>
        </w:rPr>
        <w:t>MapBiomas/imagens Planet)</w:t>
      </w:r>
    </w:p>
    <w:p w14:paraId="20BF7425" w14:textId="37F6BF27" w:rsidR="000949C1" w:rsidRPr="000949C1" w:rsidRDefault="000949C1" w:rsidP="000949C1">
      <w:pPr>
        <w:spacing w:line="259" w:lineRule="auto"/>
        <w:jc w:val="center"/>
        <w:rPr>
          <w:rFonts w:ascii="Times New Roman" w:hAnsi="Times New Roman" w:cs="Times New Roman"/>
          <w:color w:val="222222"/>
          <w:sz w:val="24"/>
          <w:szCs w:val="24"/>
        </w:rPr>
      </w:pPr>
      <w:r w:rsidRPr="000949C1">
        <w:rPr>
          <w:rFonts w:ascii="Times New Roman" w:hAnsi="Times New Roman" w:cs="Times New Roman"/>
          <w:noProof/>
          <w:color w:val="222222"/>
          <w:sz w:val="24"/>
          <w:szCs w:val="24"/>
        </w:rPr>
        <w:drawing>
          <wp:inline distT="0" distB="0" distL="0" distR="0" wp14:anchorId="3B02973D" wp14:editId="2E240C40">
            <wp:extent cx="5372100" cy="2676525"/>
            <wp:effectExtent l="0" t="0" r="0" b="9525"/>
            <wp:docPr id="19" name="Imagem 19" descr="Imagem digital fictícia de campo de futebol&#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19" descr="Imagem digital fictícia de campo de futebol&#10;&#10;Descrição gerada automaticamente com confiança baix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72100" cy="2676525"/>
                    </a:xfrm>
                    <a:prstGeom prst="rect">
                      <a:avLst/>
                    </a:prstGeom>
                    <a:noFill/>
                    <a:ln>
                      <a:noFill/>
                    </a:ln>
                  </pic:spPr>
                </pic:pic>
              </a:graphicData>
            </a:graphic>
          </wp:inline>
        </w:drawing>
      </w:r>
    </w:p>
    <w:p w14:paraId="6BD76F81" w14:textId="749558E5" w:rsidR="000949C1" w:rsidRPr="000949C1" w:rsidRDefault="000949C1" w:rsidP="000949C1">
      <w:pPr>
        <w:spacing w:after="160" w:line="259" w:lineRule="auto"/>
        <w:jc w:val="center"/>
        <w:rPr>
          <w:rFonts w:ascii="Times New Roman" w:hAnsi="Times New Roman" w:cs="Times New Roman"/>
        </w:rPr>
      </w:pPr>
      <w:r w:rsidRPr="000949C1">
        <w:rPr>
          <w:rFonts w:ascii="Times New Roman" w:hAnsi="Times New Roman" w:cs="Times New Roman"/>
        </w:rPr>
        <w:t xml:space="preserve">Figura </w:t>
      </w:r>
      <w:r w:rsidRPr="000949C1">
        <w:rPr>
          <w:rFonts w:ascii="Times New Roman" w:hAnsi="Times New Roman" w:cs="Times New Roman"/>
        </w:rPr>
        <w:t>6</w:t>
      </w:r>
      <w:r w:rsidRPr="000949C1">
        <w:rPr>
          <w:rFonts w:ascii="Times New Roman" w:hAnsi="Times New Roman" w:cs="Times New Roman"/>
        </w:rPr>
        <w:t xml:space="preserve">. Área denunciada em imagem Planet do mês de Março de 2020, ponto de coordenada central: -60.490805, 0.006658 (Fonte: </w:t>
      </w:r>
      <w:r w:rsidRPr="000949C1">
        <w:rPr>
          <w:rFonts w:ascii="Times New Roman" w:hAnsi="Times New Roman" w:cs="Times New Roman"/>
          <w:highlight w:val="white"/>
        </w:rPr>
        <w:t>MapBiomas/imagens Planet)</w:t>
      </w:r>
    </w:p>
    <w:p w14:paraId="42DD8D51" w14:textId="5D8E08B5" w:rsidR="000949C1" w:rsidRDefault="000949C1" w:rsidP="000949C1">
      <w:pPr>
        <w:spacing w:after="160" w:line="259" w:lineRule="auto"/>
        <w:jc w:val="both"/>
        <w:rPr>
          <w:rFonts w:ascii="Times New Roman" w:hAnsi="Times New Roman" w:cs="Times New Roman"/>
          <w:color w:val="222222"/>
          <w:sz w:val="24"/>
          <w:szCs w:val="24"/>
        </w:rPr>
      </w:pPr>
    </w:p>
    <w:p w14:paraId="2CF0FAC5" w14:textId="2C30516D" w:rsidR="000949C1" w:rsidRPr="000949C1" w:rsidRDefault="000949C1" w:rsidP="00E33FA6">
      <w:pPr>
        <w:pStyle w:val="Default"/>
        <w:spacing w:line="360" w:lineRule="auto"/>
        <w:ind w:firstLine="851"/>
        <w:jc w:val="both"/>
        <w:rPr>
          <w:rFonts w:ascii="Times New Roman" w:hAnsi="Times New Roman" w:cs="Times New Roman"/>
          <w:color w:val="222222"/>
        </w:rPr>
      </w:pPr>
      <w:r w:rsidRPr="000949C1">
        <w:rPr>
          <w:rFonts w:ascii="Times New Roman" w:hAnsi="Times New Roman" w:cs="Times New Roman"/>
          <w:color w:val="auto"/>
        </w:rPr>
        <w:t xml:space="preserve">Em </w:t>
      </w:r>
      <w:r w:rsidR="00E33FA6">
        <w:rPr>
          <w:rFonts w:ascii="Times New Roman" w:hAnsi="Times New Roman" w:cs="Times New Roman"/>
          <w:color w:val="auto"/>
        </w:rPr>
        <w:t>a</w:t>
      </w:r>
      <w:r w:rsidRPr="000949C1">
        <w:rPr>
          <w:rFonts w:ascii="Times New Roman" w:hAnsi="Times New Roman" w:cs="Times New Roman"/>
          <w:color w:val="auto"/>
        </w:rPr>
        <w:t xml:space="preserve">bril de 2020, o desmatamento ao longo do referido ramal </w:t>
      </w:r>
      <w:r w:rsidR="00E33FA6" w:rsidRPr="000949C1">
        <w:rPr>
          <w:rFonts w:ascii="Times New Roman" w:hAnsi="Times New Roman" w:cs="Times New Roman"/>
          <w:color w:val="auto"/>
        </w:rPr>
        <w:t>continuou apresentando</w:t>
      </w:r>
      <w:r w:rsidRPr="000949C1">
        <w:rPr>
          <w:rFonts w:ascii="Times New Roman" w:hAnsi="Times New Roman" w:cs="Times New Roman"/>
          <w:color w:val="auto"/>
        </w:rPr>
        <w:t xml:space="preserve"> novas áreas abertas que somam 29,5 hectares (Figura </w:t>
      </w:r>
      <w:r w:rsidR="00E33FA6">
        <w:rPr>
          <w:rFonts w:ascii="Times New Roman" w:hAnsi="Times New Roman" w:cs="Times New Roman"/>
          <w:color w:val="auto"/>
        </w:rPr>
        <w:t>7</w:t>
      </w:r>
      <w:r w:rsidRPr="000949C1">
        <w:rPr>
          <w:rFonts w:ascii="Times New Roman" w:hAnsi="Times New Roman" w:cs="Times New Roman"/>
          <w:color w:val="auto"/>
        </w:rPr>
        <w:t xml:space="preserve">). </w:t>
      </w:r>
    </w:p>
    <w:p w14:paraId="4883342B" w14:textId="7A55E07A" w:rsidR="000949C1" w:rsidRPr="000949C1" w:rsidRDefault="000949C1" w:rsidP="000949C1">
      <w:pPr>
        <w:spacing w:after="160" w:line="259" w:lineRule="auto"/>
        <w:jc w:val="both"/>
        <w:rPr>
          <w:rFonts w:ascii="Times New Roman" w:hAnsi="Times New Roman" w:cs="Times New Roman"/>
          <w:sz w:val="24"/>
          <w:szCs w:val="24"/>
        </w:rPr>
      </w:pPr>
      <w:r w:rsidRPr="000949C1">
        <w:rPr>
          <w:rFonts w:ascii="Times New Roman" w:hAnsi="Times New Roman" w:cs="Times New Roman"/>
          <w:color w:val="222222"/>
          <w:sz w:val="24"/>
          <w:szCs w:val="24"/>
        </w:rPr>
        <w:tab/>
      </w:r>
    </w:p>
    <w:p w14:paraId="6C7523FE" w14:textId="688C231D" w:rsidR="000949C1" w:rsidRPr="000949C1" w:rsidRDefault="00E33FA6" w:rsidP="000949C1">
      <w:pPr>
        <w:spacing w:line="259" w:lineRule="auto"/>
        <w:jc w:val="both"/>
        <w:rPr>
          <w:rFonts w:ascii="Times New Roman" w:hAnsi="Times New Roman" w:cs="Times New Roman"/>
          <w:color w:val="222222"/>
          <w:sz w:val="24"/>
          <w:szCs w:val="24"/>
        </w:rPr>
      </w:pPr>
      <w:r>
        <w:rPr>
          <w:rFonts w:ascii="Times New Roman" w:hAnsi="Times New Roman" w:cs="Times New Roman"/>
          <w:noProof/>
          <w:color w:val="222222"/>
          <w:sz w:val="24"/>
          <w:szCs w:val="24"/>
        </w:rPr>
        <w:drawing>
          <wp:inline distT="0" distB="0" distL="0" distR="0" wp14:anchorId="3F28F721" wp14:editId="02288BE9">
            <wp:extent cx="5724525" cy="4057650"/>
            <wp:effectExtent l="0" t="0" r="9525"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4525" cy="4057650"/>
                    </a:xfrm>
                    <a:prstGeom prst="rect">
                      <a:avLst/>
                    </a:prstGeom>
                    <a:noFill/>
                    <a:ln>
                      <a:noFill/>
                    </a:ln>
                  </pic:spPr>
                </pic:pic>
              </a:graphicData>
            </a:graphic>
          </wp:inline>
        </w:drawing>
      </w:r>
    </w:p>
    <w:p w14:paraId="64F2C753" w14:textId="7E2044D1" w:rsidR="000949C1" w:rsidRPr="00E33FA6" w:rsidRDefault="000949C1" w:rsidP="00E33FA6">
      <w:pPr>
        <w:spacing w:after="160" w:line="259" w:lineRule="auto"/>
        <w:jc w:val="center"/>
        <w:rPr>
          <w:rFonts w:ascii="Times New Roman" w:hAnsi="Times New Roman" w:cs="Times New Roman"/>
        </w:rPr>
      </w:pPr>
      <w:r w:rsidRPr="00E33FA6">
        <w:rPr>
          <w:rFonts w:ascii="Times New Roman" w:hAnsi="Times New Roman" w:cs="Times New Roman"/>
        </w:rPr>
        <w:t xml:space="preserve">Figura </w:t>
      </w:r>
      <w:r w:rsidR="00E33FA6" w:rsidRPr="00E33FA6">
        <w:rPr>
          <w:rFonts w:ascii="Times New Roman" w:hAnsi="Times New Roman" w:cs="Times New Roman"/>
        </w:rPr>
        <w:t>7</w:t>
      </w:r>
      <w:r w:rsidRPr="00E33FA6">
        <w:rPr>
          <w:rFonts w:ascii="Times New Roman" w:hAnsi="Times New Roman" w:cs="Times New Roman"/>
        </w:rPr>
        <w:t xml:space="preserve">. Localização da Terra Indígena Pirititi e da área denunciada. Fonte: ISA, </w:t>
      </w:r>
      <w:r w:rsidRPr="00E33FA6">
        <w:rPr>
          <w:rFonts w:ascii="Times New Roman" w:hAnsi="Times New Roman" w:cs="Times New Roman"/>
          <w:highlight w:val="white"/>
        </w:rPr>
        <w:t>MapBiomas/imagens Planet.</w:t>
      </w:r>
    </w:p>
    <w:p w14:paraId="50D5A553" w14:textId="77777777" w:rsidR="000949C1" w:rsidRPr="000949C1" w:rsidRDefault="000949C1" w:rsidP="000949C1">
      <w:pPr>
        <w:spacing w:after="160" w:line="259" w:lineRule="auto"/>
        <w:jc w:val="both"/>
        <w:rPr>
          <w:rFonts w:ascii="Times New Roman" w:hAnsi="Times New Roman" w:cs="Times New Roman"/>
          <w:color w:val="222222"/>
          <w:sz w:val="24"/>
          <w:szCs w:val="24"/>
        </w:rPr>
      </w:pPr>
    </w:p>
    <w:p w14:paraId="16E457D1" w14:textId="77777777" w:rsidR="000077A3" w:rsidRDefault="000949C1" w:rsidP="000949C1">
      <w:pPr>
        <w:spacing w:after="160" w:line="259" w:lineRule="auto"/>
        <w:jc w:val="both"/>
        <w:rPr>
          <w:rFonts w:ascii="Times New Roman" w:hAnsi="Times New Roman" w:cs="Times New Roman"/>
          <w:color w:val="222222"/>
          <w:sz w:val="24"/>
          <w:szCs w:val="24"/>
        </w:rPr>
      </w:pPr>
      <w:r w:rsidRPr="000949C1">
        <w:rPr>
          <w:rFonts w:ascii="Times New Roman" w:hAnsi="Times New Roman" w:cs="Times New Roman"/>
          <w:color w:val="222222"/>
          <w:sz w:val="24"/>
          <w:szCs w:val="24"/>
        </w:rPr>
        <w:tab/>
      </w:r>
    </w:p>
    <w:p w14:paraId="6B7AA507" w14:textId="3086762A" w:rsidR="000A0E27" w:rsidRDefault="000A0E27" w:rsidP="000077A3">
      <w:pPr>
        <w:pStyle w:val="Default"/>
        <w:spacing w:line="360" w:lineRule="auto"/>
        <w:ind w:firstLine="851"/>
        <w:jc w:val="both"/>
        <w:rPr>
          <w:rFonts w:ascii="Times New Roman" w:hAnsi="Times New Roman" w:cs="Times New Roman"/>
        </w:rPr>
      </w:pPr>
      <w:r>
        <w:rPr>
          <w:rFonts w:ascii="Times New Roman" w:hAnsi="Times New Roman" w:cs="Times New Roman"/>
        </w:rPr>
        <w:t>Em setembro de 2021, foi detectado a abertura de um novo ramal muito próximo aos limites da TI Pirititi (Figura 8). Este ramal já desmatou 129 hectares de floresta no entorno da TI e representa uma nova frente de ameaça</w:t>
      </w:r>
      <w:r w:rsidR="00D546B1">
        <w:rPr>
          <w:rFonts w:ascii="Times New Roman" w:hAnsi="Times New Roman" w:cs="Times New Roman"/>
        </w:rPr>
        <w:t>, pois está se aproximando do interior da TI e abre uma nova frente de desmatamento e transporte de madeira ilegal.</w:t>
      </w:r>
    </w:p>
    <w:p w14:paraId="58BD8859" w14:textId="7A24A13C" w:rsidR="000A0E27" w:rsidRDefault="000A0E27" w:rsidP="000077A3">
      <w:pPr>
        <w:pStyle w:val="Default"/>
        <w:spacing w:line="360" w:lineRule="auto"/>
        <w:ind w:firstLine="851"/>
        <w:jc w:val="both"/>
        <w:rPr>
          <w:rFonts w:ascii="Times New Roman" w:hAnsi="Times New Roman" w:cs="Times New Roman"/>
        </w:rPr>
      </w:pPr>
    </w:p>
    <w:p w14:paraId="6A4A7201" w14:textId="2A20CA2B" w:rsidR="000A0E27" w:rsidRDefault="000A0E27" w:rsidP="000A0E27">
      <w:pPr>
        <w:pStyle w:val="Default"/>
        <w:spacing w:line="360" w:lineRule="auto"/>
        <w:jc w:val="center"/>
        <w:rPr>
          <w:rFonts w:ascii="Times New Roman" w:hAnsi="Times New Roman" w:cs="Times New Roman"/>
        </w:rPr>
      </w:pPr>
      <w:r>
        <w:rPr>
          <w:noProof/>
        </w:rPr>
        <w:drawing>
          <wp:inline distT="0" distB="0" distL="0" distR="0" wp14:anchorId="2687159F" wp14:editId="3CF90634">
            <wp:extent cx="5731510" cy="4052570"/>
            <wp:effectExtent l="0" t="0" r="2540" b="5080"/>
            <wp:docPr id="25" name="Imagem 25" descr="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m 25" descr="Mapa&#10;&#10;Descrição gerada automaticamen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4052570"/>
                    </a:xfrm>
                    <a:prstGeom prst="rect">
                      <a:avLst/>
                    </a:prstGeom>
                    <a:noFill/>
                    <a:ln>
                      <a:noFill/>
                    </a:ln>
                  </pic:spPr>
                </pic:pic>
              </a:graphicData>
            </a:graphic>
          </wp:inline>
        </w:drawing>
      </w:r>
    </w:p>
    <w:p w14:paraId="46F88FCA" w14:textId="6DB565A0" w:rsidR="00D546B1" w:rsidRDefault="00D546B1" w:rsidP="00D546B1">
      <w:pPr>
        <w:pStyle w:val="Default"/>
        <w:jc w:val="center"/>
        <w:rPr>
          <w:rFonts w:ascii="Times New Roman" w:hAnsi="Times New Roman" w:cs="Times New Roman"/>
        </w:rPr>
      </w:pPr>
      <w:r w:rsidRPr="00E33FA6">
        <w:rPr>
          <w:rFonts w:ascii="Times New Roman" w:hAnsi="Times New Roman" w:cs="Times New Roman"/>
          <w:color w:val="auto"/>
          <w:sz w:val="22"/>
          <w:szCs w:val="22"/>
        </w:rPr>
        <w:t xml:space="preserve">Figura </w:t>
      </w:r>
      <w:r>
        <w:rPr>
          <w:rFonts w:ascii="Times New Roman" w:hAnsi="Times New Roman" w:cs="Times New Roman"/>
          <w:color w:val="auto"/>
          <w:sz w:val="22"/>
          <w:szCs w:val="22"/>
        </w:rPr>
        <w:t>8</w:t>
      </w:r>
      <w:r w:rsidRPr="00E33FA6">
        <w:rPr>
          <w:rFonts w:ascii="Times New Roman" w:hAnsi="Times New Roman" w:cs="Times New Roman"/>
          <w:color w:val="auto"/>
          <w:sz w:val="22"/>
          <w:szCs w:val="22"/>
        </w:rPr>
        <w:t xml:space="preserve">. Localização da </w:t>
      </w:r>
      <w:r>
        <w:rPr>
          <w:rFonts w:ascii="Times New Roman" w:hAnsi="Times New Roman" w:cs="Times New Roman"/>
          <w:color w:val="auto"/>
          <w:sz w:val="22"/>
          <w:szCs w:val="22"/>
        </w:rPr>
        <w:t xml:space="preserve">abertura de um novo ramal de escoamento de madeira ilegal nos limites da </w:t>
      </w:r>
      <w:r w:rsidRPr="00E33FA6">
        <w:rPr>
          <w:rFonts w:ascii="Times New Roman" w:hAnsi="Times New Roman" w:cs="Times New Roman"/>
          <w:color w:val="auto"/>
          <w:sz w:val="22"/>
          <w:szCs w:val="22"/>
        </w:rPr>
        <w:t>T</w:t>
      </w:r>
      <w:r>
        <w:rPr>
          <w:rFonts w:ascii="Times New Roman" w:hAnsi="Times New Roman" w:cs="Times New Roman"/>
          <w:color w:val="auto"/>
          <w:sz w:val="22"/>
          <w:szCs w:val="22"/>
        </w:rPr>
        <w:t xml:space="preserve">I </w:t>
      </w:r>
      <w:r w:rsidRPr="00E33FA6">
        <w:rPr>
          <w:rFonts w:ascii="Times New Roman" w:hAnsi="Times New Roman" w:cs="Times New Roman"/>
          <w:color w:val="auto"/>
          <w:sz w:val="22"/>
          <w:szCs w:val="22"/>
        </w:rPr>
        <w:t>Pirititi</w:t>
      </w:r>
      <w:r>
        <w:rPr>
          <w:rFonts w:ascii="Times New Roman" w:hAnsi="Times New Roman" w:cs="Times New Roman"/>
          <w:color w:val="auto"/>
          <w:sz w:val="22"/>
          <w:szCs w:val="22"/>
        </w:rPr>
        <w:t xml:space="preserve">. </w:t>
      </w:r>
      <w:r w:rsidRPr="00E33FA6">
        <w:rPr>
          <w:rFonts w:ascii="Times New Roman" w:hAnsi="Times New Roman" w:cs="Times New Roman"/>
          <w:color w:val="auto"/>
          <w:sz w:val="22"/>
          <w:szCs w:val="22"/>
        </w:rPr>
        <w:t>Fonte: ISA</w:t>
      </w:r>
      <w:r>
        <w:rPr>
          <w:rFonts w:ascii="Times New Roman" w:hAnsi="Times New Roman" w:cs="Times New Roman"/>
          <w:color w:val="auto"/>
          <w:sz w:val="22"/>
          <w:szCs w:val="22"/>
        </w:rPr>
        <w:t>.</w:t>
      </w:r>
    </w:p>
    <w:p w14:paraId="0BA4A2B1" w14:textId="77777777" w:rsidR="000A0E27" w:rsidRDefault="000A0E27" w:rsidP="000077A3">
      <w:pPr>
        <w:pStyle w:val="Default"/>
        <w:spacing w:line="360" w:lineRule="auto"/>
        <w:ind w:firstLine="851"/>
        <w:jc w:val="both"/>
        <w:rPr>
          <w:rFonts w:ascii="Times New Roman" w:hAnsi="Times New Roman" w:cs="Times New Roman"/>
        </w:rPr>
      </w:pPr>
    </w:p>
    <w:p w14:paraId="1391DBEC" w14:textId="77777777" w:rsidR="00EB46A0" w:rsidRDefault="000077A3" w:rsidP="00EB46A0">
      <w:pPr>
        <w:pStyle w:val="Default"/>
        <w:spacing w:line="360" w:lineRule="auto"/>
        <w:ind w:firstLine="851"/>
        <w:jc w:val="both"/>
        <w:rPr>
          <w:rFonts w:ascii="Times New Roman" w:hAnsi="Times New Roman" w:cs="Times New Roman"/>
        </w:rPr>
      </w:pPr>
      <w:r>
        <w:rPr>
          <w:rFonts w:ascii="Times New Roman" w:hAnsi="Times New Roman" w:cs="Times New Roman"/>
        </w:rPr>
        <w:t>Segundo levantamento da S</w:t>
      </w:r>
      <w:r w:rsidRPr="000077A3">
        <w:rPr>
          <w:rFonts w:ascii="Times New Roman" w:hAnsi="Times New Roman" w:cs="Times New Roman"/>
        </w:rPr>
        <w:t xml:space="preserve">ecretaria de </w:t>
      </w:r>
      <w:r w:rsidR="000A0E27">
        <w:rPr>
          <w:rFonts w:ascii="Times New Roman" w:hAnsi="Times New Roman" w:cs="Times New Roman"/>
        </w:rPr>
        <w:t>P</w:t>
      </w:r>
      <w:r w:rsidRPr="000077A3">
        <w:rPr>
          <w:rFonts w:ascii="Times New Roman" w:hAnsi="Times New Roman" w:cs="Times New Roman"/>
        </w:rPr>
        <w:t xml:space="preserve">erícia, </w:t>
      </w:r>
      <w:r w:rsidR="000A0E27">
        <w:rPr>
          <w:rFonts w:ascii="Times New Roman" w:hAnsi="Times New Roman" w:cs="Times New Roman"/>
        </w:rPr>
        <w:t>P</w:t>
      </w:r>
      <w:r w:rsidRPr="000077A3">
        <w:rPr>
          <w:rFonts w:ascii="Times New Roman" w:hAnsi="Times New Roman" w:cs="Times New Roman"/>
        </w:rPr>
        <w:t xml:space="preserve">esquisa e </w:t>
      </w:r>
      <w:r w:rsidR="000A0E27">
        <w:rPr>
          <w:rFonts w:ascii="Times New Roman" w:hAnsi="Times New Roman" w:cs="Times New Roman"/>
        </w:rPr>
        <w:t>A</w:t>
      </w:r>
      <w:r w:rsidRPr="000077A3">
        <w:rPr>
          <w:rFonts w:ascii="Times New Roman" w:hAnsi="Times New Roman" w:cs="Times New Roman"/>
        </w:rPr>
        <w:t>nálise</w:t>
      </w:r>
      <w:r w:rsidR="000A0E27">
        <w:rPr>
          <w:rFonts w:ascii="Times New Roman" w:hAnsi="Times New Roman" w:cs="Times New Roman"/>
        </w:rPr>
        <w:t xml:space="preserve"> do MPF</w:t>
      </w:r>
      <w:r w:rsidR="000A0E27">
        <w:rPr>
          <w:rStyle w:val="Refdenotaderodap"/>
          <w:rFonts w:ascii="Times New Roman" w:hAnsi="Times New Roman" w:cs="Times New Roman"/>
        </w:rPr>
        <w:footnoteReference w:id="17"/>
      </w:r>
      <w:r w:rsidR="000A0E27">
        <w:rPr>
          <w:rFonts w:ascii="Times New Roman" w:hAnsi="Times New Roman" w:cs="Times New Roman"/>
        </w:rPr>
        <w:t xml:space="preserve">, existem 529 cadastros irregulares do </w:t>
      </w:r>
      <w:r w:rsidRPr="00AC3F5C">
        <w:rPr>
          <w:rFonts w:ascii="Times New Roman" w:hAnsi="Times New Roman" w:cs="Times New Roman"/>
        </w:rPr>
        <w:t>Cadastro Ambiental Rural (</w:t>
      </w:r>
      <w:r w:rsidR="000A0E27">
        <w:rPr>
          <w:rFonts w:ascii="Times New Roman" w:hAnsi="Times New Roman" w:cs="Times New Roman"/>
        </w:rPr>
        <w:t>CAR</w:t>
      </w:r>
      <w:r w:rsidRPr="00AC3F5C">
        <w:rPr>
          <w:rFonts w:ascii="Times New Roman" w:hAnsi="Times New Roman" w:cs="Times New Roman"/>
        </w:rPr>
        <w:t>)</w:t>
      </w:r>
      <w:r>
        <w:rPr>
          <w:rFonts w:ascii="Times New Roman" w:hAnsi="Times New Roman" w:cs="Times New Roman"/>
        </w:rPr>
        <w:t xml:space="preserve"> </w:t>
      </w:r>
      <w:r w:rsidRPr="00AC3F5C">
        <w:rPr>
          <w:rFonts w:ascii="Times New Roman" w:hAnsi="Times New Roman" w:cs="Times New Roman"/>
        </w:rPr>
        <w:t xml:space="preserve">sobrepostos à TI </w:t>
      </w:r>
      <w:r w:rsidR="000A0E27">
        <w:rPr>
          <w:rFonts w:ascii="Times New Roman" w:hAnsi="Times New Roman" w:cs="Times New Roman"/>
        </w:rPr>
        <w:t>Pirititi</w:t>
      </w:r>
      <w:r>
        <w:rPr>
          <w:rFonts w:ascii="Times New Roman" w:hAnsi="Times New Roman" w:cs="Times New Roman"/>
        </w:rPr>
        <w:t xml:space="preserve">, que totalizam </w:t>
      </w:r>
      <w:r w:rsidR="00D546B1">
        <w:rPr>
          <w:rFonts w:ascii="Times New Roman" w:hAnsi="Times New Roman" w:cs="Times New Roman"/>
        </w:rPr>
        <w:t xml:space="preserve">19.164,6 </w:t>
      </w:r>
      <w:r>
        <w:rPr>
          <w:rFonts w:ascii="Times New Roman" w:hAnsi="Times New Roman" w:cs="Times New Roman"/>
        </w:rPr>
        <w:t xml:space="preserve">hectares </w:t>
      </w:r>
      <w:r w:rsidRPr="00AC3F5C">
        <w:rPr>
          <w:rFonts w:ascii="Times New Roman" w:hAnsi="Times New Roman" w:cs="Times New Roman"/>
        </w:rPr>
        <w:t xml:space="preserve">sobrepostos </w:t>
      </w:r>
      <w:r w:rsidR="00D546B1">
        <w:rPr>
          <w:rFonts w:ascii="Times New Roman" w:hAnsi="Times New Roman" w:cs="Times New Roman"/>
        </w:rPr>
        <w:t xml:space="preserve">à área </w:t>
      </w:r>
      <w:r w:rsidRPr="00AC3F5C">
        <w:rPr>
          <w:rFonts w:ascii="Times New Roman" w:hAnsi="Times New Roman" w:cs="Times New Roman"/>
        </w:rPr>
        <w:t>da TI</w:t>
      </w:r>
      <w:r>
        <w:rPr>
          <w:rFonts w:ascii="Times New Roman" w:hAnsi="Times New Roman" w:cs="Times New Roman"/>
        </w:rPr>
        <w:t xml:space="preserve"> (ou </w:t>
      </w:r>
      <w:r w:rsidR="00EB46A0">
        <w:rPr>
          <w:rFonts w:ascii="Times New Roman" w:hAnsi="Times New Roman" w:cs="Times New Roman"/>
        </w:rPr>
        <w:t>44,1</w:t>
      </w:r>
      <w:r>
        <w:rPr>
          <w:rFonts w:ascii="Times New Roman" w:hAnsi="Times New Roman" w:cs="Times New Roman"/>
        </w:rPr>
        <w:t xml:space="preserve">% da área total da TI). Estes dados de ocupação irregular do </w:t>
      </w:r>
      <w:r w:rsidRPr="00AC3F5C">
        <w:rPr>
          <w:rFonts w:ascii="Times New Roman" w:hAnsi="Times New Roman" w:cs="Times New Roman"/>
        </w:rPr>
        <w:t>CAR demonstram que a TI está sob pressão</w:t>
      </w:r>
      <w:r>
        <w:rPr>
          <w:rFonts w:ascii="Times New Roman" w:hAnsi="Times New Roman" w:cs="Times New Roman"/>
        </w:rPr>
        <w:t xml:space="preserve"> </w:t>
      </w:r>
      <w:r w:rsidRPr="00AC3F5C">
        <w:rPr>
          <w:rFonts w:ascii="Times New Roman" w:hAnsi="Times New Roman" w:cs="Times New Roman"/>
        </w:rPr>
        <w:t>com a finalidade de apropriação fundiária</w:t>
      </w:r>
      <w:r>
        <w:rPr>
          <w:rFonts w:ascii="Times New Roman" w:hAnsi="Times New Roman" w:cs="Times New Roman"/>
        </w:rPr>
        <w:t xml:space="preserve"> irregular.</w:t>
      </w:r>
    </w:p>
    <w:p w14:paraId="1D88782E" w14:textId="31260C10" w:rsidR="00E7783B" w:rsidRDefault="00EC24AD" w:rsidP="00E7783B">
      <w:pPr>
        <w:spacing w:line="360" w:lineRule="auto"/>
        <w:ind w:firstLine="851"/>
        <w:jc w:val="both"/>
        <w:rPr>
          <w:rFonts w:ascii="Times New Roman" w:hAnsi="Times New Roman" w:cs="Times New Roman"/>
          <w:color w:val="000000"/>
          <w:sz w:val="24"/>
          <w:szCs w:val="24"/>
          <w:shd w:val="clear" w:color="auto" w:fill="FFFFFF" w:themeFill="background1"/>
        </w:rPr>
      </w:pPr>
      <w:r>
        <w:rPr>
          <w:rFonts w:ascii="Times New Roman" w:hAnsi="Times New Roman" w:cs="Times New Roman"/>
          <w:sz w:val="24"/>
          <w:szCs w:val="24"/>
          <w:shd w:val="clear" w:color="auto" w:fill="FFFFFF" w:themeFill="background1"/>
        </w:rPr>
        <w:t xml:space="preserve">A </w:t>
      </w:r>
      <w:hyperlink r:id="rId18" w:history="1">
        <w:r>
          <w:rPr>
            <w:rStyle w:val="Hyperlink"/>
            <w:rFonts w:ascii="Times New Roman" w:hAnsi="Times New Roman" w:cs="Times New Roman"/>
            <w:color w:val="auto"/>
            <w:sz w:val="24"/>
            <w:szCs w:val="24"/>
            <w:u w:val="none"/>
            <w:shd w:val="clear" w:color="auto" w:fill="FFFFFF" w:themeFill="background1"/>
          </w:rPr>
          <w:t>á</w:t>
        </w:r>
        <w:r w:rsidRPr="0059037A">
          <w:rPr>
            <w:rStyle w:val="Hyperlink"/>
            <w:rFonts w:ascii="Times New Roman" w:hAnsi="Times New Roman" w:cs="Times New Roman"/>
            <w:color w:val="auto"/>
            <w:sz w:val="24"/>
            <w:szCs w:val="24"/>
            <w:u w:val="none"/>
            <w:shd w:val="clear" w:color="auto" w:fill="FFFFFF" w:themeFill="background1"/>
          </w:rPr>
          <w:t xml:space="preserve">rea de </w:t>
        </w:r>
        <w:r>
          <w:rPr>
            <w:rStyle w:val="Hyperlink"/>
            <w:rFonts w:ascii="Times New Roman" w:hAnsi="Times New Roman" w:cs="Times New Roman"/>
            <w:color w:val="auto"/>
            <w:sz w:val="24"/>
            <w:szCs w:val="24"/>
            <w:u w:val="none"/>
            <w:shd w:val="clear" w:color="auto" w:fill="FFFFFF" w:themeFill="background1"/>
          </w:rPr>
          <w:t>r</w:t>
        </w:r>
        <w:r w:rsidRPr="0059037A">
          <w:rPr>
            <w:rStyle w:val="Hyperlink"/>
            <w:rFonts w:ascii="Times New Roman" w:hAnsi="Times New Roman" w:cs="Times New Roman"/>
            <w:color w:val="auto"/>
            <w:sz w:val="24"/>
            <w:szCs w:val="24"/>
            <w:u w:val="none"/>
            <w:shd w:val="clear" w:color="auto" w:fill="FFFFFF" w:themeFill="background1"/>
          </w:rPr>
          <w:t xml:space="preserve">estrição de </w:t>
        </w:r>
        <w:r>
          <w:rPr>
            <w:rStyle w:val="Hyperlink"/>
            <w:rFonts w:ascii="Times New Roman" w:hAnsi="Times New Roman" w:cs="Times New Roman"/>
            <w:color w:val="auto"/>
            <w:sz w:val="24"/>
            <w:szCs w:val="24"/>
            <w:u w:val="none"/>
            <w:shd w:val="clear" w:color="auto" w:fill="FFFFFF" w:themeFill="background1"/>
          </w:rPr>
          <w:t>u</w:t>
        </w:r>
        <w:r w:rsidRPr="0059037A">
          <w:rPr>
            <w:rStyle w:val="Hyperlink"/>
            <w:rFonts w:ascii="Times New Roman" w:hAnsi="Times New Roman" w:cs="Times New Roman"/>
            <w:color w:val="auto"/>
            <w:sz w:val="24"/>
            <w:szCs w:val="24"/>
            <w:u w:val="none"/>
            <w:shd w:val="clear" w:color="auto" w:fill="FFFFFF" w:themeFill="background1"/>
          </w:rPr>
          <w:t xml:space="preserve">so </w:t>
        </w:r>
        <w:r>
          <w:rPr>
            <w:rStyle w:val="Hyperlink"/>
            <w:rFonts w:ascii="Times New Roman" w:hAnsi="Times New Roman" w:cs="Times New Roman"/>
            <w:color w:val="auto"/>
            <w:sz w:val="24"/>
            <w:szCs w:val="24"/>
            <w:u w:val="none"/>
            <w:shd w:val="clear" w:color="auto" w:fill="FFFFFF" w:themeFill="background1"/>
          </w:rPr>
          <w:t xml:space="preserve">do TI </w:t>
        </w:r>
        <w:r w:rsidR="00EB46A0">
          <w:rPr>
            <w:rStyle w:val="Hyperlink"/>
            <w:rFonts w:ascii="Times New Roman" w:hAnsi="Times New Roman" w:cs="Times New Roman"/>
            <w:color w:val="auto"/>
            <w:sz w:val="24"/>
            <w:szCs w:val="24"/>
            <w:u w:val="none"/>
            <w:shd w:val="clear" w:color="auto" w:fill="FFFFFF" w:themeFill="background1"/>
          </w:rPr>
          <w:t xml:space="preserve">Pirititi </w:t>
        </w:r>
      </w:hyperlink>
      <w:r>
        <w:rPr>
          <w:rFonts w:ascii="Times New Roman" w:hAnsi="Times New Roman" w:cs="Times New Roman"/>
          <w:sz w:val="24"/>
          <w:szCs w:val="24"/>
          <w:shd w:val="clear" w:color="auto" w:fill="FFFFFF" w:themeFill="background1"/>
        </w:rPr>
        <w:t xml:space="preserve">está localizada </w:t>
      </w:r>
      <w:r w:rsidRPr="0059037A">
        <w:rPr>
          <w:rFonts w:ascii="Times New Roman" w:hAnsi="Times New Roman" w:cs="Times New Roman"/>
          <w:sz w:val="24"/>
          <w:szCs w:val="24"/>
          <w:shd w:val="clear" w:color="auto" w:fill="FFFFFF" w:themeFill="background1"/>
        </w:rPr>
        <w:t xml:space="preserve">na </w:t>
      </w:r>
      <w:r w:rsidR="00E152F9">
        <w:rPr>
          <w:rFonts w:ascii="Times New Roman" w:hAnsi="Times New Roman" w:cs="Times New Roman"/>
          <w:sz w:val="24"/>
          <w:szCs w:val="24"/>
          <w:shd w:val="clear" w:color="auto" w:fill="FFFFFF" w:themeFill="background1"/>
        </w:rPr>
        <w:t xml:space="preserve">área de influência </w:t>
      </w:r>
      <w:r w:rsidR="00E7783B">
        <w:rPr>
          <w:rFonts w:ascii="Times New Roman" w:hAnsi="Times New Roman" w:cs="Times New Roman"/>
          <w:sz w:val="24"/>
          <w:szCs w:val="24"/>
          <w:shd w:val="clear" w:color="auto" w:fill="FFFFFF" w:themeFill="background1"/>
        </w:rPr>
        <w:t xml:space="preserve">do Linhão Tucurui, uma </w:t>
      </w:r>
      <w:r w:rsidR="00E152F9">
        <w:rPr>
          <w:rFonts w:ascii="Times New Roman" w:hAnsi="Times New Roman" w:cs="Times New Roman"/>
          <w:sz w:val="24"/>
          <w:szCs w:val="24"/>
          <w:shd w:val="clear" w:color="auto" w:fill="FFFFFF" w:themeFill="background1"/>
        </w:rPr>
        <w:t xml:space="preserve">linha de transmissão </w:t>
      </w:r>
      <w:r w:rsidR="00E7783B" w:rsidRPr="00E7783B">
        <w:rPr>
          <w:rFonts w:ascii="Times New Roman" w:hAnsi="Times New Roman" w:cs="Times New Roman"/>
          <w:color w:val="000000"/>
          <w:sz w:val="24"/>
          <w:szCs w:val="24"/>
          <w:shd w:val="clear" w:color="auto" w:fill="FFFFFF" w:themeFill="background1"/>
        </w:rPr>
        <w:t xml:space="preserve">ao longo do eixo da BR-174, que corta </w:t>
      </w:r>
      <w:r w:rsidR="00E7783B">
        <w:rPr>
          <w:rFonts w:ascii="Times New Roman" w:hAnsi="Times New Roman" w:cs="Times New Roman"/>
          <w:color w:val="000000"/>
          <w:sz w:val="24"/>
          <w:szCs w:val="24"/>
          <w:shd w:val="clear" w:color="auto" w:fill="FFFFFF" w:themeFill="background1"/>
        </w:rPr>
        <w:t xml:space="preserve">A TI Waimiri-Atroari </w:t>
      </w:r>
      <w:r w:rsidR="00E7783B" w:rsidRPr="00E7783B">
        <w:rPr>
          <w:rFonts w:ascii="Times New Roman" w:hAnsi="Times New Roman" w:cs="Times New Roman"/>
          <w:color w:val="000000"/>
          <w:sz w:val="24"/>
          <w:szCs w:val="24"/>
          <w:shd w:val="clear" w:color="auto" w:fill="FFFFFF" w:themeFill="background1"/>
        </w:rPr>
        <w:t>em 125 km</w:t>
      </w:r>
      <w:r w:rsidR="00E7783B">
        <w:rPr>
          <w:rFonts w:ascii="Times New Roman" w:hAnsi="Times New Roman" w:cs="Times New Roman"/>
          <w:color w:val="000000"/>
          <w:sz w:val="24"/>
          <w:szCs w:val="24"/>
          <w:shd w:val="clear" w:color="auto" w:fill="FFFFFF" w:themeFill="background1"/>
        </w:rPr>
        <w:t xml:space="preserve"> (Figura 9)</w:t>
      </w:r>
      <w:r w:rsidR="00E7783B" w:rsidRPr="00E7783B">
        <w:rPr>
          <w:rFonts w:ascii="Times New Roman" w:hAnsi="Times New Roman" w:cs="Times New Roman"/>
          <w:color w:val="000000"/>
          <w:sz w:val="24"/>
          <w:szCs w:val="24"/>
          <w:shd w:val="clear" w:color="auto" w:fill="FFFFFF" w:themeFill="background1"/>
        </w:rPr>
        <w:t>.</w:t>
      </w:r>
    </w:p>
    <w:p w14:paraId="5A8C634A" w14:textId="77777777" w:rsidR="00E7783B" w:rsidRPr="00E7783B" w:rsidRDefault="00E7783B" w:rsidP="00E7783B">
      <w:pPr>
        <w:spacing w:line="360" w:lineRule="auto"/>
        <w:ind w:firstLine="851"/>
        <w:jc w:val="both"/>
        <w:rPr>
          <w:rFonts w:ascii="Times New Roman" w:hAnsi="Times New Roman" w:cs="Times New Roman"/>
          <w:sz w:val="24"/>
          <w:szCs w:val="24"/>
          <w:shd w:val="clear" w:color="auto" w:fill="FFFFFF" w:themeFill="background1"/>
        </w:rPr>
      </w:pPr>
    </w:p>
    <w:p w14:paraId="549E5E11" w14:textId="02E8AB09" w:rsidR="00EB46A0" w:rsidRDefault="00E152F9" w:rsidP="00EB46A0">
      <w:pPr>
        <w:spacing w:line="360" w:lineRule="auto"/>
        <w:jc w:val="both"/>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14:anchorId="10680670" wp14:editId="5148C62A">
            <wp:extent cx="5731510" cy="4046220"/>
            <wp:effectExtent l="0" t="0" r="254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4046220"/>
                    </a:xfrm>
                    <a:prstGeom prst="rect">
                      <a:avLst/>
                    </a:prstGeom>
                    <a:noFill/>
                    <a:ln>
                      <a:noFill/>
                    </a:ln>
                  </pic:spPr>
                </pic:pic>
              </a:graphicData>
            </a:graphic>
          </wp:inline>
        </w:drawing>
      </w:r>
    </w:p>
    <w:p w14:paraId="32F63423" w14:textId="60BFA91D" w:rsidR="00E7783B" w:rsidRDefault="00E7783B" w:rsidP="0011317A">
      <w:pPr>
        <w:pStyle w:val="Default"/>
        <w:jc w:val="center"/>
        <w:rPr>
          <w:rFonts w:ascii="Times New Roman" w:hAnsi="Times New Roman" w:cs="Times New Roman"/>
        </w:rPr>
      </w:pPr>
      <w:r w:rsidRPr="00E33FA6">
        <w:rPr>
          <w:rFonts w:ascii="Times New Roman" w:hAnsi="Times New Roman" w:cs="Times New Roman"/>
          <w:color w:val="auto"/>
          <w:sz w:val="22"/>
          <w:szCs w:val="22"/>
        </w:rPr>
        <w:t xml:space="preserve">Figura </w:t>
      </w:r>
      <w:r>
        <w:rPr>
          <w:rFonts w:ascii="Times New Roman" w:hAnsi="Times New Roman" w:cs="Times New Roman"/>
          <w:color w:val="auto"/>
          <w:sz w:val="22"/>
          <w:szCs w:val="22"/>
        </w:rPr>
        <w:t>9</w:t>
      </w:r>
      <w:r w:rsidRPr="00E33FA6">
        <w:rPr>
          <w:rFonts w:ascii="Times New Roman" w:hAnsi="Times New Roman" w:cs="Times New Roman"/>
          <w:color w:val="auto"/>
          <w:sz w:val="22"/>
          <w:szCs w:val="22"/>
        </w:rPr>
        <w:t xml:space="preserve">. Localização da </w:t>
      </w:r>
      <w:r>
        <w:rPr>
          <w:rFonts w:ascii="Times New Roman" w:hAnsi="Times New Roman" w:cs="Times New Roman"/>
          <w:color w:val="auto"/>
          <w:sz w:val="22"/>
          <w:szCs w:val="22"/>
        </w:rPr>
        <w:t xml:space="preserve">linha de transmissão ao longo da rodovia BR-174. </w:t>
      </w:r>
      <w:r w:rsidRPr="00E33FA6">
        <w:rPr>
          <w:rFonts w:ascii="Times New Roman" w:hAnsi="Times New Roman" w:cs="Times New Roman"/>
          <w:color w:val="auto"/>
          <w:sz w:val="22"/>
          <w:szCs w:val="22"/>
        </w:rPr>
        <w:t>Fonte: ISA</w:t>
      </w:r>
      <w:r>
        <w:rPr>
          <w:rFonts w:ascii="Times New Roman" w:hAnsi="Times New Roman" w:cs="Times New Roman"/>
          <w:color w:val="auto"/>
          <w:sz w:val="22"/>
          <w:szCs w:val="22"/>
        </w:rPr>
        <w:t>.</w:t>
      </w:r>
    </w:p>
    <w:p w14:paraId="71FF2DE9" w14:textId="6F40B7F4" w:rsidR="00E152F9" w:rsidRDefault="00E152F9" w:rsidP="00EB46A0">
      <w:pPr>
        <w:spacing w:line="360" w:lineRule="auto"/>
        <w:jc w:val="both"/>
        <w:rPr>
          <w:rFonts w:ascii="Times New Roman" w:hAnsi="Times New Roman" w:cs="Times New Roman"/>
          <w:color w:val="000000"/>
          <w:sz w:val="24"/>
          <w:szCs w:val="24"/>
        </w:rPr>
      </w:pPr>
    </w:p>
    <w:p w14:paraId="5F912E32" w14:textId="77777777" w:rsidR="00E05951" w:rsidRDefault="00E7783B" w:rsidP="00E05951">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Em setembro, a</w:t>
      </w:r>
      <w:r w:rsidR="00E152F9" w:rsidRPr="00E152F9">
        <w:rPr>
          <w:rFonts w:ascii="Times New Roman" w:hAnsi="Times New Roman" w:cs="Times New Roman"/>
          <w:sz w:val="24"/>
          <w:szCs w:val="24"/>
        </w:rPr>
        <w:t> </w:t>
      </w:r>
      <w:hyperlink r:id="rId20" w:history="1">
        <w:r w:rsidR="00E152F9" w:rsidRPr="00E152F9">
          <w:rPr>
            <w:rStyle w:val="Hyperlink"/>
            <w:rFonts w:ascii="Times New Roman" w:hAnsi="Times New Roman" w:cs="Times New Roman"/>
            <w:color w:val="auto"/>
            <w:sz w:val="24"/>
            <w:szCs w:val="24"/>
            <w:u w:val="none"/>
          </w:rPr>
          <w:t>Associação Comunidade Waimiri Atroari (ACWA)</w:t>
        </w:r>
      </w:hyperlink>
      <w:r w:rsidR="00E152F9" w:rsidRPr="00E152F9">
        <w:rPr>
          <w:rFonts w:ascii="Times New Roman" w:hAnsi="Times New Roman" w:cs="Times New Roman"/>
          <w:sz w:val="24"/>
          <w:szCs w:val="24"/>
        </w:rPr>
        <w:t> lançou uma nota repudiando o anúncio feito pelo Governo Federal sobre o </w:t>
      </w:r>
      <w:hyperlink r:id="rId21" w:history="1">
        <w:r w:rsidR="00E152F9" w:rsidRPr="00E152F9">
          <w:rPr>
            <w:rStyle w:val="Hyperlink"/>
            <w:rFonts w:ascii="Times New Roman" w:hAnsi="Times New Roman" w:cs="Times New Roman"/>
            <w:color w:val="auto"/>
            <w:sz w:val="24"/>
            <w:szCs w:val="24"/>
            <w:u w:val="none"/>
          </w:rPr>
          <w:t>início das obras do Linhão Tucuruí</w:t>
        </w:r>
      </w:hyperlink>
      <w:r w:rsidR="00E152F9" w:rsidRPr="00E152F9">
        <w:rPr>
          <w:rFonts w:ascii="Times New Roman" w:hAnsi="Times New Roman" w:cs="Times New Roman"/>
          <w:sz w:val="24"/>
          <w:szCs w:val="24"/>
        </w:rPr>
        <w:t>.</w:t>
      </w:r>
      <w:r>
        <w:rPr>
          <w:rFonts w:ascii="Times New Roman" w:hAnsi="Times New Roman" w:cs="Times New Roman"/>
          <w:sz w:val="24"/>
          <w:szCs w:val="24"/>
        </w:rPr>
        <w:t xml:space="preserve"> </w:t>
      </w:r>
      <w:r w:rsidR="00E152F9" w:rsidRPr="00E152F9">
        <w:rPr>
          <w:rFonts w:ascii="Times New Roman" w:hAnsi="Times New Roman" w:cs="Times New Roman"/>
          <w:sz w:val="24"/>
          <w:szCs w:val="24"/>
        </w:rPr>
        <w:t>Leiloada há 10 anos, a linha de transmissão estava com as obras paralisadas e esperava a resolução do Ibama para atravessar o território</w:t>
      </w:r>
      <w:r>
        <w:rPr>
          <w:rFonts w:ascii="Times New Roman" w:hAnsi="Times New Roman" w:cs="Times New Roman"/>
          <w:sz w:val="24"/>
          <w:szCs w:val="24"/>
        </w:rPr>
        <w:t xml:space="preserve"> indígena</w:t>
      </w:r>
      <w:r w:rsidR="00E152F9" w:rsidRPr="00E152F9">
        <w:rPr>
          <w:rFonts w:ascii="Times New Roman" w:hAnsi="Times New Roman" w:cs="Times New Roman"/>
          <w:sz w:val="24"/>
          <w:szCs w:val="24"/>
        </w:rPr>
        <w:t>. A emissão da licença ambiental de instalação veio depois que a Fun</w:t>
      </w:r>
      <w:r>
        <w:rPr>
          <w:rFonts w:ascii="Times New Roman" w:hAnsi="Times New Roman" w:cs="Times New Roman"/>
          <w:sz w:val="24"/>
          <w:szCs w:val="24"/>
        </w:rPr>
        <w:t xml:space="preserve">ai </w:t>
      </w:r>
      <w:r w:rsidR="00E152F9" w:rsidRPr="00E152F9">
        <w:rPr>
          <w:rFonts w:ascii="Times New Roman" w:hAnsi="Times New Roman" w:cs="Times New Roman"/>
          <w:sz w:val="24"/>
          <w:szCs w:val="24"/>
        </w:rPr>
        <w:t>autorizou a obra. Entretanto, o</w:t>
      </w:r>
      <w:r>
        <w:rPr>
          <w:rFonts w:ascii="Times New Roman" w:hAnsi="Times New Roman" w:cs="Times New Roman"/>
          <w:sz w:val="24"/>
          <w:szCs w:val="24"/>
        </w:rPr>
        <w:t xml:space="preserve"> povo Waimiri-Atroari </w:t>
      </w:r>
      <w:r w:rsidR="00E152F9" w:rsidRPr="00E152F9">
        <w:rPr>
          <w:rFonts w:ascii="Times New Roman" w:hAnsi="Times New Roman" w:cs="Times New Roman"/>
          <w:sz w:val="24"/>
          <w:szCs w:val="24"/>
        </w:rPr>
        <w:t>afirma</w:t>
      </w:r>
      <w:r>
        <w:rPr>
          <w:rFonts w:ascii="Times New Roman" w:hAnsi="Times New Roman" w:cs="Times New Roman"/>
          <w:sz w:val="24"/>
          <w:szCs w:val="24"/>
        </w:rPr>
        <w:t xml:space="preserve"> </w:t>
      </w:r>
      <w:r w:rsidR="00E152F9" w:rsidRPr="00E152F9">
        <w:rPr>
          <w:rFonts w:ascii="Times New Roman" w:hAnsi="Times New Roman" w:cs="Times New Roman"/>
          <w:sz w:val="24"/>
          <w:szCs w:val="24"/>
        </w:rPr>
        <w:t xml:space="preserve">que </w:t>
      </w:r>
      <w:r>
        <w:rPr>
          <w:rFonts w:ascii="Times New Roman" w:hAnsi="Times New Roman" w:cs="Times New Roman"/>
          <w:sz w:val="24"/>
          <w:szCs w:val="24"/>
        </w:rPr>
        <w:t xml:space="preserve">o </w:t>
      </w:r>
      <w:r w:rsidR="00E152F9" w:rsidRPr="00E152F9">
        <w:rPr>
          <w:rFonts w:ascii="Times New Roman" w:hAnsi="Times New Roman" w:cs="Times New Roman"/>
          <w:sz w:val="24"/>
          <w:szCs w:val="24"/>
        </w:rPr>
        <w:t>acordo compensatório não foi firmado e que, por essa razão, não aceitarão a construção do empreendimento dentro d</w:t>
      </w:r>
      <w:r>
        <w:rPr>
          <w:rFonts w:ascii="Times New Roman" w:hAnsi="Times New Roman" w:cs="Times New Roman"/>
          <w:sz w:val="24"/>
          <w:szCs w:val="24"/>
        </w:rPr>
        <w:t xml:space="preserve">os limites da TI. </w:t>
      </w:r>
    </w:p>
    <w:p w14:paraId="036ACEAB" w14:textId="5241D58B" w:rsidR="00E05951" w:rsidRDefault="00E05951" w:rsidP="00E05951">
      <w:pPr>
        <w:spacing w:line="360" w:lineRule="auto"/>
        <w:ind w:firstLine="851"/>
        <w:jc w:val="both"/>
        <w:rPr>
          <w:rFonts w:ascii="Times New Roman" w:hAnsi="Times New Roman" w:cs="Times New Roman"/>
          <w:color w:val="000000"/>
          <w:sz w:val="24"/>
          <w:szCs w:val="24"/>
          <w:shd w:val="clear" w:color="auto" w:fill="F4F4F4"/>
        </w:rPr>
      </w:pPr>
      <w:r w:rsidRPr="00E05951">
        <w:rPr>
          <w:rFonts w:ascii="Times New Roman" w:hAnsi="Times New Roman" w:cs="Times New Roman"/>
          <w:color w:val="000000"/>
          <w:sz w:val="24"/>
          <w:szCs w:val="24"/>
          <w:shd w:val="clear" w:color="auto" w:fill="FFFFFF" w:themeFill="background1"/>
        </w:rPr>
        <w:t xml:space="preserve">A </w:t>
      </w:r>
      <w:r>
        <w:rPr>
          <w:rFonts w:ascii="Times New Roman" w:hAnsi="Times New Roman" w:cs="Times New Roman"/>
          <w:color w:val="000000"/>
          <w:sz w:val="24"/>
          <w:szCs w:val="24"/>
          <w:shd w:val="clear" w:color="auto" w:fill="FFFFFF" w:themeFill="background1"/>
        </w:rPr>
        <w:t xml:space="preserve">implementação desta </w:t>
      </w:r>
      <w:r w:rsidRPr="00E05951">
        <w:rPr>
          <w:rFonts w:ascii="Times New Roman" w:hAnsi="Times New Roman" w:cs="Times New Roman"/>
          <w:color w:val="000000"/>
          <w:sz w:val="24"/>
          <w:szCs w:val="24"/>
          <w:shd w:val="clear" w:color="auto" w:fill="FFFFFF" w:themeFill="background1"/>
        </w:rPr>
        <w:t xml:space="preserve">obra consiste na construção de torres gigantescas a uma distância segura em relação à estrada, implicando em </w:t>
      </w:r>
      <w:r>
        <w:rPr>
          <w:rFonts w:ascii="Times New Roman" w:hAnsi="Times New Roman" w:cs="Times New Roman"/>
          <w:color w:val="000000"/>
          <w:sz w:val="24"/>
          <w:szCs w:val="24"/>
          <w:shd w:val="clear" w:color="auto" w:fill="FFFFFF" w:themeFill="background1"/>
        </w:rPr>
        <w:t xml:space="preserve">novos </w:t>
      </w:r>
      <w:r w:rsidRPr="00E05951">
        <w:rPr>
          <w:rFonts w:ascii="Times New Roman" w:hAnsi="Times New Roman" w:cs="Times New Roman"/>
          <w:color w:val="000000"/>
          <w:sz w:val="24"/>
          <w:szCs w:val="24"/>
          <w:shd w:val="clear" w:color="auto" w:fill="FFFFFF" w:themeFill="background1"/>
        </w:rPr>
        <w:t>desmatamento</w:t>
      </w:r>
      <w:r>
        <w:rPr>
          <w:rFonts w:ascii="Times New Roman" w:hAnsi="Times New Roman" w:cs="Times New Roman"/>
          <w:color w:val="000000"/>
          <w:sz w:val="24"/>
          <w:szCs w:val="24"/>
          <w:shd w:val="clear" w:color="auto" w:fill="FFFFFF" w:themeFill="background1"/>
        </w:rPr>
        <w:t>s</w:t>
      </w:r>
      <w:r w:rsidRPr="00E05951">
        <w:rPr>
          <w:rFonts w:ascii="Times New Roman" w:hAnsi="Times New Roman" w:cs="Times New Roman"/>
          <w:color w:val="000000"/>
          <w:sz w:val="24"/>
          <w:szCs w:val="24"/>
          <w:shd w:val="clear" w:color="auto" w:fill="FFFFFF" w:themeFill="background1"/>
        </w:rPr>
        <w:t xml:space="preserve"> ao longo de todo o trecho rodoviário e dificultando a conexão entre as partes do território separadas pela estrada e todos os processos ecológicos envolvidos. </w:t>
      </w:r>
      <w:r>
        <w:rPr>
          <w:rFonts w:ascii="Times New Roman" w:hAnsi="Times New Roman" w:cs="Times New Roman"/>
          <w:color w:val="000000"/>
          <w:sz w:val="24"/>
          <w:szCs w:val="24"/>
          <w:shd w:val="clear" w:color="auto" w:fill="FFFFFF" w:themeFill="background1"/>
        </w:rPr>
        <w:t>Estes novos desmatamentos, próximos a T</w:t>
      </w:r>
      <w:r w:rsidR="005D0E68">
        <w:rPr>
          <w:rFonts w:ascii="Times New Roman" w:hAnsi="Times New Roman" w:cs="Times New Roman"/>
          <w:color w:val="000000"/>
          <w:sz w:val="24"/>
          <w:szCs w:val="24"/>
          <w:shd w:val="clear" w:color="auto" w:fill="FFFFFF" w:themeFill="background1"/>
        </w:rPr>
        <w:t>I</w:t>
      </w:r>
      <w:r>
        <w:rPr>
          <w:rFonts w:ascii="Times New Roman" w:hAnsi="Times New Roman" w:cs="Times New Roman"/>
          <w:color w:val="000000"/>
          <w:sz w:val="24"/>
          <w:szCs w:val="24"/>
          <w:shd w:val="clear" w:color="auto" w:fill="FFFFFF" w:themeFill="background1"/>
        </w:rPr>
        <w:t xml:space="preserve"> Pirititi, podem representar novas frentes de invasão à TI. </w:t>
      </w:r>
      <w:r w:rsidRPr="00E05951">
        <w:rPr>
          <w:rFonts w:ascii="Times New Roman" w:hAnsi="Times New Roman" w:cs="Times New Roman"/>
          <w:color w:val="000000"/>
          <w:sz w:val="24"/>
          <w:szCs w:val="24"/>
          <w:shd w:val="clear" w:color="auto" w:fill="FFFFFF" w:themeFill="background1"/>
        </w:rPr>
        <w:t>A frequência de pessoas estranhas, tanto para a construção quanto para a manutenção d</w:t>
      </w:r>
      <w:r>
        <w:rPr>
          <w:rFonts w:ascii="Times New Roman" w:hAnsi="Times New Roman" w:cs="Times New Roman"/>
          <w:color w:val="000000"/>
          <w:sz w:val="24"/>
          <w:szCs w:val="24"/>
          <w:shd w:val="clear" w:color="auto" w:fill="FFFFFF" w:themeFill="background1"/>
        </w:rPr>
        <w:t>a linha de transmissão</w:t>
      </w:r>
      <w:r w:rsidRPr="00E05951">
        <w:rPr>
          <w:rFonts w:ascii="Times New Roman" w:hAnsi="Times New Roman" w:cs="Times New Roman"/>
          <w:color w:val="000000"/>
          <w:sz w:val="24"/>
          <w:szCs w:val="24"/>
          <w:shd w:val="clear" w:color="auto" w:fill="FFFFFF" w:themeFill="background1"/>
        </w:rPr>
        <w:t>, trará o risco permanente de invasão e de transmissão de doenças</w:t>
      </w:r>
      <w:r w:rsidRPr="00E05951">
        <w:rPr>
          <w:rFonts w:ascii="Times New Roman" w:hAnsi="Times New Roman" w:cs="Times New Roman"/>
          <w:color w:val="000000"/>
          <w:sz w:val="24"/>
          <w:szCs w:val="24"/>
          <w:shd w:val="clear" w:color="auto" w:fill="F4F4F4"/>
        </w:rPr>
        <w:t>.</w:t>
      </w:r>
    </w:p>
    <w:p w14:paraId="42AA0572" w14:textId="13BE5533" w:rsidR="005D0E68" w:rsidRPr="00E05951" w:rsidRDefault="005D0E68" w:rsidP="005D0E68">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Segundo um estudo realizado pelo Instituto Socioambiental e a Universidade Federal de Minas Gerais (UFMG)</w:t>
      </w:r>
      <w:r>
        <w:rPr>
          <w:rStyle w:val="Refdenotaderodap"/>
          <w:rFonts w:ascii="Times New Roman" w:hAnsi="Times New Roman" w:cs="Times New Roman"/>
          <w:sz w:val="24"/>
          <w:szCs w:val="24"/>
        </w:rPr>
        <w:footnoteReference w:id="18"/>
      </w:r>
      <w:r>
        <w:rPr>
          <w:rFonts w:ascii="Times New Roman" w:hAnsi="Times New Roman" w:cs="Times New Roman"/>
          <w:sz w:val="24"/>
          <w:szCs w:val="24"/>
        </w:rPr>
        <w:t>, em um cenário de baixa governança ambiental das pol</w:t>
      </w:r>
      <w:r>
        <w:rPr>
          <w:rFonts w:ascii="Times New Roman" w:hAnsi="Times New Roman" w:cs="Times New Roman"/>
          <w:sz w:val="24"/>
          <w:szCs w:val="24"/>
        </w:rPr>
        <w:t>í</w:t>
      </w:r>
      <w:r>
        <w:rPr>
          <w:rFonts w:ascii="Times New Roman" w:hAnsi="Times New Roman" w:cs="Times New Roman"/>
          <w:sz w:val="24"/>
          <w:szCs w:val="24"/>
        </w:rPr>
        <w:t xml:space="preserve">ticas de comando e controle, e licenciamento ambiental, a TI </w:t>
      </w:r>
      <w:r>
        <w:rPr>
          <w:rFonts w:ascii="Times New Roman" w:hAnsi="Times New Roman" w:cs="Times New Roman"/>
          <w:sz w:val="24"/>
          <w:szCs w:val="24"/>
        </w:rPr>
        <w:t xml:space="preserve">Pirititi </w:t>
      </w:r>
      <w:r>
        <w:rPr>
          <w:rFonts w:ascii="Times New Roman" w:hAnsi="Times New Roman" w:cs="Times New Roman"/>
          <w:sz w:val="24"/>
          <w:szCs w:val="24"/>
        </w:rPr>
        <w:t xml:space="preserve">poderá acumular um desmatamento de </w:t>
      </w:r>
      <w:r>
        <w:rPr>
          <w:rFonts w:ascii="Times New Roman" w:hAnsi="Times New Roman" w:cs="Times New Roman"/>
          <w:sz w:val="24"/>
          <w:szCs w:val="24"/>
        </w:rPr>
        <w:t xml:space="preserve">5.049 </w:t>
      </w:r>
      <w:r>
        <w:rPr>
          <w:rFonts w:ascii="Times New Roman" w:hAnsi="Times New Roman" w:cs="Times New Roman"/>
          <w:sz w:val="24"/>
          <w:szCs w:val="24"/>
        </w:rPr>
        <w:t xml:space="preserve">hectares entre os anos de 2022 a 2039. </w:t>
      </w:r>
    </w:p>
    <w:p w14:paraId="7AE4D65E" w14:textId="48FCD334" w:rsidR="00F04548" w:rsidRDefault="00F04548" w:rsidP="00000409">
      <w:pPr>
        <w:spacing w:line="360" w:lineRule="auto"/>
        <w:jc w:val="both"/>
        <w:rPr>
          <w:rFonts w:ascii="Times New Roman" w:eastAsia="Times New Roman" w:hAnsi="Times New Roman" w:cs="Times New Roman"/>
          <w:sz w:val="24"/>
          <w:szCs w:val="24"/>
        </w:rPr>
      </w:pPr>
    </w:p>
    <w:p w14:paraId="6E6BC71E" w14:textId="3FDA420C" w:rsidR="003439FA" w:rsidRDefault="00D05202">
      <w:pPr>
        <w:spacing w:line="360" w:lineRule="auto"/>
        <w:rPr>
          <w:rFonts w:ascii="Times New Roman" w:hAnsi="Times New Roman" w:cs="Times New Roman"/>
          <w:b/>
          <w:bCs/>
          <w:smallCaps/>
          <w:kern w:val="2"/>
          <w:sz w:val="24"/>
          <w:szCs w:val="24"/>
        </w:rPr>
      </w:pPr>
      <w:r>
        <w:rPr>
          <w:rFonts w:ascii="Times New Roman" w:hAnsi="Times New Roman" w:cs="Times New Roman"/>
          <w:b/>
          <w:bCs/>
          <w:smallCaps/>
          <w:kern w:val="2"/>
          <w:sz w:val="24"/>
          <w:szCs w:val="24"/>
        </w:rPr>
        <w:t>5. Considerações Finais</w:t>
      </w:r>
    </w:p>
    <w:p w14:paraId="37C2AA8F" w14:textId="77777777" w:rsidR="003439FA" w:rsidRDefault="003439FA">
      <w:pPr>
        <w:shd w:val="clear" w:color="auto" w:fill="FEFEFE"/>
        <w:spacing w:line="360" w:lineRule="auto"/>
        <w:jc w:val="both"/>
        <w:rPr>
          <w:rFonts w:ascii="Times New Roman" w:eastAsia="Times New Roman" w:hAnsi="Times New Roman" w:cs="Times New Roman"/>
          <w:sz w:val="24"/>
          <w:szCs w:val="24"/>
        </w:rPr>
      </w:pPr>
    </w:p>
    <w:p w14:paraId="08AAFF43" w14:textId="58CEDC5B" w:rsidR="00A937CB" w:rsidRDefault="00D05202" w:rsidP="00A937CB">
      <w:pPr>
        <w:suppressAutoHyphens w:val="0"/>
        <w:overflowPunct/>
        <w:autoSpaceDE w:val="0"/>
        <w:autoSpaceDN w:val="0"/>
        <w:adjustRightInd w:val="0"/>
        <w:spacing w:line="360" w:lineRule="auto"/>
        <w:ind w:firstLine="851"/>
        <w:jc w:val="both"/>
        <w:rPr>
          <w:rFonts w:ascii="Times New Roman" w:hAnsi="Times New Roman" w:cs="Times New Roman"/>
          <w:sz w:val="24"/>
          <w:szCs w:val="24"/>
        </w:rPr>
      </w:pPr>
      <w:r>
        <w:rPr>
          <w:rFonts w:ascii="Times New Roman" w:eastAsia="Times New Roman" w:hAnsi="Times New Roman" w:cs="Times New Roman"/>
          <w:sz w:val="24"/>
          <w:szCs w:val="24"/>
        </w:rPr>
        <w:t xml:space="preserve">O presente relatório demonstra que mesmo durante o pior momento da pandemia </w:t>
      </w:r>
      <w:r w:rsidR="004C61B9">
        <w:rPr>
          <w:rFonts w:ascii="Times New Roman" w:eastAsia="Times New Roman" w:hAnsi="Times New Roman" w:cs="Times New Roman"/>
          <w:sz w:val="24"/>
          <w:szCs w:val="24"/>
        </w:rPr>
        <w:t>e à revelia da regulamentação da</w:t>
      </w:r>
      <w:r w:rsidR="009B5E6D">
        <w:rPr>
          <w:rFonts w:ascii="Times New Roman" w:eastAsia="Times New Roman" w:hAnsi="Times New Roman" w:cs="Times New Roman"/>
          <w:sz w:val="24"/>
          <w:szCs w:val="24"/>
        </w:rPr>
        <w:t>s</w:t>
      </w:r>
      <w:r w:rsidR="004C61B9">
        <w:rPr>
          <w:rFonts w:ascii="Times New Roman" w:eastAsia="Times New Roman" w:hAnsi="Times New Roman" w:cs="Times New Roman"/>
          <w:sz w:val="24"/>
          <w:szCs w:val="24"/>
        </w:rPr>
        <w:t xml:space="preserve"> Portaria</w:t>
      </w:r>
      <w:r w:rsidR="009B5E6D">
        <w:rPr>
          <w:rFonts w:ascii="Times New Roman" w:eastAsia="Times New Roman" w:hAnsi="Times New Roman" w:cs="Times New Roman"/>
          <w:sz w:val="24"/>
          <w:szCs w:val="24"/>
        </w:rPr>
        <w:t>s</w:t>
      </w:r>
      <w:r w:rsidR="004C61B9">
        <w:rPr>
          <w:rFonts w:ascii="Times New Roman" w:eastAsia="Times New Roman" w:hAnsi="Times New Roman" w:cs="Times New Roman"/>
          <w:sz w:val="24"/>
          <w:szCs w:val="24"/>
        </w:rPr>
        <w:t xml:space="preserve"> de Restrição de Uso</w:t>
      </w:r>
      <w:r w:rsidR="004C61B9">
        <w:rPr>
          <w:rFonts w:ascii="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as invasões e o desmatamento </w:t>
      </w:r>
      <w:r w:rsidR="004C61B9">
        <w:rPr>
          <w:rFonts w:ascii="Times New Roman" w:eastAsia="Times New Roman" w:hAnsi="Times New Roman" w:cs="Times New Roman"/>
          <w:sz w:val="24"/>
          <w:szCs w:val="24"/>
        </w:rPr>
        <w:t>na</w:t>
      </w:r>
      <w:r w:rsidR="009B5E6D">
        <w:rPr>
          <w:rFonts w:ascii="Times New Roman" w:eastAsia="Times New Roman" w:hAnsi="Times New Roman" w:cs="Times New Roman"/>
          <w:sz w:val="24"/>
          <w:szCs w:val="24"/>
        </w:rPr>
        <w:t>s</w:t>
      </w:r>
      <w:r w:rsidR="004C61B9">
        <w:rPr>
          <w:rFonts w:ascii="Times New Roman" w:eastAsia="Times New Roman" w:hAnsi="Times New Roman" w:cs="Times New Roman"/>
          <w:sz w:val="24"/>
          <w:szCs w:val="24"/>
        </w:rPr>
        <w:t xml:space="preserve"> TI</w:t>
      </w:r>
      <w:r w:rsidR="009B5E6D">
        <w:rPr>
          <w:rFonts w:ascii="Times New Roman" w:eastAsia="Times New Roman" w:hAnsi="Times New Roman" w:cs="Times New Roman"/>
          <w:sz w:val="24"/>
          <w:szCs w:val="24"/>
        </w:rPr>
        <w:t>s Jacareuba-Katawixi e Pirititi continuam a ocorrer</w:t>
      </w:r>
      <w:r>
        <w:rPr>
          <w:rFonts w:ascii="Times New Roman" w:eastAsia="Times New Roman" w:hAnsi="Times New Roman" w:cs="Times New Roman"/>
          <w:sz w:val="24"/>
          <w:szCs w:val="24"/>
        </w:rPr>
        <w:t xml:space="preserve">. </w:t>
      </w:r>
      <w:r w:rsidR="004323E4">
        <w:rPr>
          <w:rFonts w:ascii="Times New Roman" w:eastAsia="Times New Roman" w:hAnsi="Times New Roman" w:cs="Times New Roman"/>
          <w:sz w:val="24"/>
          <w:szCs w:val="24"/>
        </w:rPr>
        <w:t xml:space="preserve">As </w:t>
      </w:r>
      <w:r w:rsidR="00213331">
        <w:rPr>
          <w:rFonts w:ascii="Times New Roman" w:eastAsia="Times New Roman" w:hAnsi="Times New Roman" w:cs="Times New Roman"/>
          <w:sz w:val="24"/>
          <w:szCs w:val="24"/>
        </w:rPr>
        <w:t xml:space="preserve">evidências </w:t>
      </w:r>
      <w:r w:rsidR="004323E4">
        <w:rPr>
          <w:rFonts w:ascii="Times New Roman" w:eastAsia="Times New Roman" w:hAnsi="Times New Roman" w:cs="Times New Roman"/>
          <w:sz w:val="24"/>
          <w:szCs w:val="24"/>
        </w:rPr>
        <w:t xml:space="preserve">registradas pelas imagens de satélite e </w:t>
      </w:r>
      <w:r w:rsidR="009B5E6D">
        <w:rPr>
          <w:rFonts w:ascii="Times New Roman" w:eastAsia="Times New Roman" w:hAnsi="Times New Roman" w:cs="Times New Roman"/>
          <w:sz w:val="24"/>
          <w:szCs w:val="24"/>
        </w:rPr>
        <w:t xml:space="preserve">sistemas de monitoramento do desmatamento </w:t>
      </w:r>
      <w:r w:rsidR="00213331">
        <w:rPr>
          <w:rFonts w:ascii="Times New Roman" w:eastAsia="Times New Roman" w:hAnsi="Times New Roman" w:cs="Times New Roman"/>
          <w:sz w:val="24"/>
          <w:szCs w:val="24"/>
        </w:rPr>
        <w:t xml:space="preserve">mostram que as </w:t>
      </w:r>
      <w:r w:rsidR="009B5E6D">
        <w:rPr>
          <w:rFonts w:ascii="Times New Roman" w:eastAsia="Times New Roman" w:hAnsi="Times New Roman" w:cs="Times New Roman"/>
          <w:sz w:val="24"/>
          <w:szCs w:val="24"/>
        </w:rPr>
        <w:t xml:space="preserve">invasões </w:t>
      </w:r>
      <w:r w:rsidR="00213331">
        <w:rPr>
          <w:rFonts w:ascii="Times New Roman" w:eastAsia="Times New Roman" w:hAnsi="Times New Roman" w:cs="Times New Roman"/>
          <w:sz w:val="24"/>
          <w:szCs w:val="24"/>
        </w:rPr>
        <w:t>explora</w:t>
      </w:r>
      <w:r w:rsidR="009B5E6D">
        <w:rPr>
          <w:rFonts w:ascii="Times New Roman" w:eastAsia="Times New Roman" w:hAnsi="Times New Roman" w:cs="Times New Roman"/>
          <w:sz w:val="24"/>
          <w:szCs w:val="24"/>
        </w:rPr>
        <w:t xml:space="preserve">m </w:t>
      </w:r>
      <w:r w:rsidR="004323E4">
        <w:rPr>
          <w:rFonts w:ascii="Times New Roman" w:eastAsia="Times New Roman" w:hAnsi="Times New Roman" w:cs="Times New Roman"/>
          <w:sz w:val="24"/>
          <w:szCs w:val="24"/>
        </w:rPr>
        <w:t xml:space="preserve">ilegalmente </w:t>
      </w:r>
      <w:r w:rsidR="00213331">
        <w:rPr>
          <w:rFonts w:ascii="Times New Roman" w:eastAsia="Times New Roman" w:hAnsi="Times New Roman" w:cs="Times New Roman"/>
          <w:sz w:val="24"/>
          <w:szCs w:val="24"/>
        </w:rPr>
        <w:t xml:space="preserve">os recursos naturais </w:t>
      </w:r>
      <w:r w:rsidR="009B5E6D">
        <w:rPr>
          <w:rFonts w:ascii="Times New Roman" w:eastAsia="Times New Roman" w:hAnsi="Times New Roman" w:cs="Times New Roman"/>
          <w:sz w:val="24"/>
          <w:szCs w:val="24"/>
        </w:rPr>
        <w:t xml:space="preserve">nas TIs, e representam atividades ilegais e </w:t>
      </w:r>
      <w:r w:rsidR="00213331">
        <w:rPr>
          <w:rFonts w:ascii="Times New Roman" w:hAnsi="Times New Roman" w:cs="Times New Roman"/>
          <w:color w:val="000000"/>
          <w:sz w:val="24"/>
          <w:szCs w:val="24"/>
        </w:rPr>
        <w:t>incompatíve</w:t>
      </w:r>
      <w:r w:rsidR="009B5E6D">
        <w:rPr>
          <w:rFonts w:ascii="Times New Roman" w:hAnsi="Times New Roman" w:cs="Times New Roman"/>
          <w:color w:val="000000"/>
          <w:sz w:val="24"/>
          <w:szCs w:val="24"/>
        </w:rPr>
        <w:t xml:space="preserve">is </w:t>
      </w:r>
      <w:r w:rsidR="00213331">
        <w:rPr>
          <w:rFonts w:ascii="Times New Roman" w:hAnsi="Times New Roman" w:cs="Times New Roman"/>
          <w:color w:val="000000"/>
          <w:sz w:val="24"/>
          <w:szCs w:val="24"/>
        </w:rPr>
        <w:t xml:space="preserve">com os objetivos de proteção e conservação de uma terra indígena. </w:t>
      </w:r>
      <w:r w:rsidR="009B5E6D">
        <w:rPr>
          <w:rFonts w:ascii="Times New Roman" w:hAnsi="Times New Roman" w:cs="Times New Roman"/>
          <w:color w:val="000000"/>
          <w:sz w:val="24"/>
          <w:szCs w:val="24"/>
        </w:rPr>
        <w:t xml:space="preserve">O levantamento dos registros </w:t>
      </w:r>
      <w:r w:rsidR="00A937CB">
        <w:rPr>
          <w:rFonts w:ascii="Times New Roman" w:hAnsi="Times New Roman" w:cs="Times New Roman"/>
          <w:color w:val="000000"/>
          <w:sz w:val="24"/>
          <w:szCs w:val="24"/>
        </w:rPr>
        <w:t xml:space="preserve">irregulares </w:t>
      </w:r>
      <w:r w:rsidR="009B5E6D">
        <w:rPr>
          <w:rFonts w:ascii="Times New Roman" w:hAnsi="Times New Roman" w:cs="Times New Roman"/>
          <w:color w:val="000000"/>
          <w:sz w:val="24"/>
          <w:szCs w:val="24"/>
        </w:rPr>
        <w:t xml:space="preserve">do CAR </w:t>
      </w:r>
      <w:r w:rsidR="00A937CB">
        <w:rPr>
          <w:rFonts w:ascii="Times New Roman" w:hAnsi="Times New Roman" w:cs="Times New Roman"/>
          <w:color w:val="000000"/>
          <w:sz w:val="24"/>
          <w:szCs w:val="24"/>
        </w:rPr>
        <w:t xml:space="preserve">em sobreposição à TI </w:t>
      </w:r>
      <w:r w:rsidR="009B5E6D">
        <w:rPr>
          <w:rFonts w:ascii="Times New Roman" w:hAnsi="Times New Roman" w:cs="Times New Roman"/>
          <w:color w:val="000000"/>
          <w:sz w:val="24"/>
          <w:szCs w:val="24"/>
        </w:rPr>
        <w:t xml:space="preserve">também </w:t>
      </w:r>
      <w:r w:rsidR="00A937CB">
        <w:rPr>
          <w:rFonts w:ascii="Times New Roman" w:hAnsi="Times New Roman" w:cs="Times New Roman"/>
          <w:color w:val="000000"/>
          <w:sz w:val="24"/>
          <w:szCs w:val="24"/>
        </w:rPr>
        <w:t xml:space="preserve">revela a </w:t>
      </w:r>
      <w:r w:rsidR="00A937CB" w:rsidRPr="00A937CB">
        <w:rPr>
          <w:rFonts w:ascii="Times New Roman" w:hAnsi="Times New Roman" w:cs="Times New Roman"/>
          <w:sz w:val="24"/>
          <w:szCs w:val="24"/>
        </w:rPr>
        <w:t>expectativa e especulaç</w:t>
      </w:r>
      <w:r w:rsidR="00A937CB">
        <w:rPr>
          <w:rFonts w:ascii="Times New Roman" w:hAnsi="Times New Roman" w:cs="Times New Roman"/>
          <w:sz w:val="24"/>
          <w:szCs w:val="24"/>
        </w:rPr>
        <w:t xml:space="preserve">ão dos invasores </w:t>
      </w:r>
      <w:r w:rsidR="00A937CB" w:rsidRPr="00A937CB">
        <w:rPr>
          <w:rFonts w:ascii="Times New Roman" w:hAnsi="Times New Roman" w:cs="Times New Roman"/>
          <w:sz w:val="24"/>
          <w:szCs w:val="24"/>
        </w:rPr>
        <w:t>sobre a não renovação</w:t>
      </w:r>
      <w:r w:rsidR="00A937CB">
        <w:rPr>
          <w:rFonts w:ascii="Times New Roman" w:hAnsi="Times New Roman" w:cs="Times New Roman"/>
          <w:sz w:val="24"/>
          <w:szCs w:val="24"/>
        </w:rPr>
        <w:t xml:space="preserve"> das Portarias de Restrição de Uso</w:t>
      </w:r>
      <w:r w:rsidR="00A937CB" w:rsidRPr="00A937CB">
        <w:rPr>
          <w:rFonts w:ascii="Times New Roman" w:hAnsi="Times New Roman" w:cs="Times New Roman"/>
          <w:sz w:val="24"/>
          <w:szCs w:val="24"/>
        </w:rPr>
        <w:t xml:space="preserve">, </w:t>
      </w:r>
      <w:r w:rsidR="00A937CB">
        <w:rPr>
          <w:rFonts w:ascii="Times New Roman" w:hAnsi="Times New Roman" w:cs="Times New Roman"/>
          <w:sz w:val="24"/>
          <w:szCs w:val="24"/>
        </w:rPr>
        <w:t xml:space="preserve">e isso </w:t>
      </w:r>
      <w:r w:rsidR="00A937CB" w:rsidRPr="00A937CB">
        <w:rPr>
          <w:rFonts w:ascii="Times New Roman" w:hAnsi="Times New Roman" w:cs="Times New Roman"/>
          <w:sz w:val="24"/>
          <w:szCs w:val="24"/>
        </w:rPr>
        <w:t xml:space="preserve">tem contribuído para </w:t>
      </w:r>
      <w:r w:rsidR="00A937CB">
        <w:rPr>
          <w:rFonts w:ascii="Times New Roman" w:hAnsi="Times New Roman" w:cs="Times New Roman"/>
          <w:sz w:val="24"/>
          <w:szCs w:val="24"/>
        </w:rPr>
        <w:t xml:space="preserve">os </w:t>
      </w:r>
      <w:r w:rsidR="00A937CB" w:rsidRPr="00A937CB">
        <w:rPr>
          <w:rFonts w:ascii="Times New Roman" w:hAnsi="Times New Roman" w:cs="Times New Roman"/>
          <w:sz w:val="24"/>
          <w:szCs w:val="24"/>
        </w:rPr>
        <w:t>desmatamentos</w:t>
      </w:r>
      <w:r w:rsidR="00A937CB">
        <w:rPr>
          <w:rFonts w:ascii="Times New Roman" w:hAnsi="Times New Roman" w:cs="Times New Roman"/>
          <w:sz w:val="24"/>
          <w:szCs w:val="24"/>
        </w:rPr>
        <w:t xml:space="preserve"> no interior das TIs.</w:t>
      </w:r>
    </w:p>
    <w:p w14:paraId="48A04D51" w14:textId="77777777" w:rsidR="001E695C" w:rsidRDefault="00E86726" w:rsidP="001E695C">
      <w:pPr>
        <w:spacing w:line="360" w:lineRule="auto"/>
        <w:ind w:firstLine="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TIs </w:t>
      </w:r>
      <w:r>
        <w:rPr>
          <w:rFonts w:ascii="Times New Roman" w:eastAsia="Times New Roman" w:hAnsi="Times New Roman" w:cs="Times New Roman"/>
          <w:sz w:val="24"/>
          <w:szCs w:val="24"/>
        </w:rPr>
        <w:t xml:space="preserve">objeto deste relatório </w:t>
      </w:r>
      <w:r>
        <w:rPr>
          <w:rFonts w:ascii="Times New Roman" w:eastAsia="Times New Roman" w:hAnsi="Times New Roman" w:cs="Times New Roman"/>
          <w:sz w:val="24"/>
          <w:szCs w:val="24"/>
        </w:rPr>
        <w:t xml:space="preserve">não dispõem de medidas eficazes de controle de invasores, e com isso seguem apresentando índices de desmatamento. </w:t>
      </w:r>
    </w:p>
    <w:p w14:paraId="02A623FD" w14:textId="531C4AB3" w:rsidR="001E695C" w:rsidRPr="001E695C" w:rsidRDefault="001E695C" w:rsidP="001E695C">
      <w:pPr>
        <w:spacing w:line="360" w:lineRule="auto"/>
        <w:ind w:firstLine="1134"/>
        <w:jc w:val="both"/>
        <w:rPr>
          <w:rFonts w:ascii="Times New Roman" w:eastAsia="Times New Roman" w:hAnsi="Times New Roman" w:cs="Times New Roman"/>
          <w:sz w:val="24"/>
          <w:szCs w:val="24"/>
        </w:rPr>
      </w:pPr>
      <w:r w:rsidRPr="001E695C">
        <w:rPr>
          <w:rFonts w:ascii="Times New Roman" w:hAnsi="Times New Roman" w:cs="Times New Roman"/>
          <w:sz w:val="24"/>
          <w:szCs w:val="24"/>
        </w:rPr>
        <w:t xml:space="preserve">As obras de infraestrutura </w:t>
      </w:r>
      <w:r>
        <w:rPr>
          <w:rFonts w:ascii="Times New Roman" w:hAnsi="Times New Roman" w:cs="Times New Roman"/>
          <w:sz w:val="24"/>
          <w:szCs w:val="24"/>
        </w:rPr>
        <w:t>que impactam estas TIs p</w:t>
      </w:r>
      <w:r w:rsidRPr="001E695C">
        <w:rPr>
          <w:rFonts w:ascii="Times New Roman" w:hAnsi="Times New Roman" w:cs="Times New Roman"/>
          <w:sz w:val="24"/>
          <w:szCs w:val="24"/>
        </w:rPr>
        <w:t xml:space="preserve">odem gerar impactos ambientais irreversíveis sobre os territórios e modos de vida dos índios </w:t>
      </w:r>
      <w:r w:rsidRPr="001E695C">
        <w:rPr>
          <w:rFonts w:ascii="Times New Roman" w:hAnsi="Times New Roman" w:cs="Times New Roman"/>
          <w:sz w:val="24"/>
          <w:szCs w:val="24"/>
        </w:rPr>
        <w:t>isolados, tais</w:t>
      </w:r>
      <w:r w:rsidRPr="001E695C">
        <w:rPr>
          <w:rFonts w:ascii="Times New Roman" w:hAnsi="Times New Roman" w:cs="Times New Roman"/>
          <w:sz w:val="24"/>
          <w:szCs w:val="24"/>
        </w:rPr>
        <w:t xml:space="preserve"> como aumento e pressão por desmatamentos, exploração ilegal de recursos naturais, grilagem de terra, degradação de recursos hídricos, e contato com madeireiros, garimpeiros e funcionários das obras.</w:t>
      </w:r>
      <w:r w:rsidR="005B37AC">
        <w:rPr>
          <w:rFonts w:ascii="Times New Roman" w:hAnsi="Times New Roman" w:cs="Times New Roman"/>
          <w:sz w:val="24"/>
          <w:szCs w:val="24"/>
        </w:rPr>
        <w:t xml:space="preserve"> </w:t>
      </w:r>
      <w:r w:rsidR="00E0204A">
        <w:rPr>
          <w:rFonts w:ascii="Times New Roman" w:hAnsi="Times New Roman" w:cs="Times New Roman"/>
          <w:sz w:val="24"/>
          <w:szCs w:val="24"/>
        </w:rPr>
        <w:t xml:space="preserve">Em um cenário sem governança ambiental e </w:t>
      </w:r>
      <w:r w:rsidR="00125E17">
        <w:rPr>
          <w:rFonts w:ascii="Times New Roman" w:hAnsi="Times New Roman" w:cs="Times New Roman"/>
          <w:sz w:val="24"/>
          <w:szCs w:val="24"/>
        </w:rPr>
        <w:t>com a flexibilização das regras de licenciamento ambiental, a</w:t>
      </w:r>
      <w:r w:rsidR="005B37AC">
        <w:rPr>
          <w:rFonts w:ascii="Times New Roman" w:hAnsi="Times New Roman" w:cs="Times New Roman"/>
          <w:sz w:val="24"/>
          <w:szCs w:val="24"/>
        </w:rPr>
        <w:t>s duas TIs objeto deste relatório pode</w:t>
      </w:r>
      <w:r w:rsidR="00E0204A">
        <w:rPr>
          <w:rFonts w:ascii="Times New Roman" w:hAnsi="Times New Roman" w:cs="Times New Roman"/>
          <w:sz w:val="24"/>
          <w:szCs w:val="24"/>
        </w:rPr>
        <w:t>m acumular</w:t>
      </w:r>
      <w:r w:rsidR="00125E17">
        <w:rPr>
          <w:rFonts w:ascii="Times New Roman" w:hAnsi="Times New Roman" w:cs="Times New Roman"/>
          <w:sz w:val="24"/>
          <w:szCs w:val="24"/>
        </w:rPr>
        <w:t>,</w:t>
      </w:r>
      <w:r w:rsidR="00E0204A">
        <w:rPr>
          <w:rFonts w:ascii="Times New Roman" w:hAnsi="Times New Roman" w:cs="Times New Roman"/>
          <w:sz w:val="24"/>
          <w:szCs w:val="24"/>
        </w:rPr>
        <w:t xml:space="preserve"> até</w:t>
      </w:r>
      <w:r w:rsidR="00125E17">
        <w:rPr>
          <w:rFonts w:ascii="Times New Roman" w:hAnsi="Times New Roman" w:cs="Times New Roman"/>
          <w:sz w:val="24"/>
          <w:szCs w:val="24"/>
        </w:rPr>
        <w:t xml:space="preserve"> 2039, 275 mil hectares em novos desmatamentos. </w:t>
      </w:r>
    </w:p>
    <w:p w14:paraId="3937900D" w14:textId="77777777" w:rsidR="009C0461" w:rsidRDefault="00A937CB" w:rsidP="00A937CB">
      <w:pPr>
        <w:suppressAutoHyphens w:val="0"/>
        <w:overflowPunct/>
        <w:autoSpaceDE w:val="0"/>
        <w:autoSpaceDN w:val="0"/>
        <w:adjustRightInd w:val="0"/>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pressuposto adotado n</w:t>
      </w:r>
      <w:r>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análise</w:t>
      </w:r>
      <w:r>
        <w:rPr>
          <w:rFonts w:ascii="Times New Roman" w:eastAsia="Times New Roman" w:hAnsi="Times New Roman" w:cs="Times New Roman"/>
          <w:sz w:val="24"/>
          <w:szCs w:val="24"/>
        </w:rPr>
        <w:t xml:space="preserve"> do impacto das obras de infraestrutura (i.e. rodovias e linhas de transmissão)</w:t>
      </w:r>
      <w:r>
        <w:rPr>
          <w:rFonts w:ascii="Times New Roman" w:eastAsia="Times New Roman" w:hAnsi="Times New Roman" w:cs="Times New Roman"/>
          <w:sz w:val="24"/>
          <w:szCs w:val="24"/>
        </w:rPr>
        <w:t xml:space="preserve"> considera que </w:t>
      </w:r>
      <w:r>
        <w:rPr>
          <w:rFonts w:ascii="Times New Roman" w:eastAsia="Times New Roman" w:hAnsi="Times New Roman" w:cs="Times New Roman"/>
          <w:sz w:val="24"/>
          <w:szCs w:val="24"/>
        </w:rPr>
        <w:t xml:space="preserve">o aumento no transito de trabalhadores e abertura de ramais nas proximidades das </w:t>
      </w:r>
      <w:r>
        <w:rPr>
          <w:rFonts w:ascii="Times New Roman" w:eastAsia="Times New Roman" w:hAnsi="Times New Roman" w:cs="Times New Roman"/>
          <w:sz w:val="24"/>
          <w:szCs w:val="24"/>
        </w:rPr>
        <w:t xml:space="preserve">TIs </w:t>
      </w:r>
      <w:r>
        <w:rPr>
          <w:rFonts w:ascii="Times New Roman" w:eastAsia="Times New Roman" w:hAnsi="Times New Roman" w:cs="Times New Roman"/>
          <w:sz w:val="24"/>
          <w:szCs w:val="24"/>
        </w:rPr>
        <w:t>deverá facilitar a circulação d</w:t>
      </w:r>
      <w:r>
        <w:rPr>
          <w:rFonts w:ascii="Times New Roman" w:eastAsia="Times New Roman" w:hAnsi="Times New Roman" w:cs="Times New Roman"/>
          <w:sz w:val="24"/>
          <w:szCs w:val="24"/>
        </w:rPr>
        <w:t>e invasores</w:t>
      </w:r>
      <w:r>
        <w:rPr>
          <w:rFonts w:ascii="Times New Roman" w:eastAsia="Times New Roman" w:hAnsi="Times New Roman" w:cs="Times New Roman"/>
          <w:sz w:val="24"/>
          <w:szCs w:val="24"/>
        </w:rPr>
        <w:t xml:space="preserve"> e transporte de madeira ilegal, bem como a exploração ilegal de outros produtos não madeireiros e </w:t>
      </w:r>
      <w:r w:rsidR="009C0461">
        <w:rPr>
          <w:rFonts w:ascii="Times New Roman" w:eastAsia="Times New Roman" w:hAnsi="Times New Roman" w:cs="Times New Roman"/>
          <w:sz w:val="24"/>
          <w:szCs w:val="24"/>
        </w:rPr>
        <w:t xml:space="preserve">caça. Esta circulação e facilidade no acesso de invasores aumenta </w:t>
      </w:r>
      <w:r>
        <w:rPr>
          <w:rFonts w:ascii="Times New Roman" w:eastAsia="Times New Roman" w:hAnsi="Times New Roman" w:cs="Times New Roman"/>
          <w:sz w:val="24"/>
          <w:szCs w:val="24"/>
        </w:rPr>
        <w:t xml:space="preserve">o risco real de que eles disseminem a Covid-19 </w:t>
      </w:r>
      <w:r w:rsidR="009C0461">
        <w:rPr>
          <w:rFonts w:ascii="Times New Roman" w:eastAsia="Times New Roman" w:hAnsi="Times New Roman" w:cs="Times New Roman"/>
          <w:sz w:val="24"/>
          <w:szCs w:val="24"/>
        </w:rPr>
        <w:t xml:space="preserve">e outras doenças </w:t>
      </w:r>
      <w:r>
        <w:rPr>
          <w:rFonts w:ascii="Times New Roman" w:eastAsia="Times New Roman" w:hAnsi="Times New Roman" w:cs="Times New Roman"/>
          <w:sz w:val="24"/>
          <w:szCs w:val="24"/>
        </w:rPr>
        <w:t xml:space="preserve">entre </w:t>
      </w:r>
      <w:r w:rsidR="009C0461">
        <w:rPr>
          <w:rFonts w:ascii="Times New Roman" w:eastAsia="Times New Roman" w:hAnsi="Times New Roman" w:cs="Times New Roman"/>
          <w:sz w:val="24"/>
          <w:szCs w:val="24"/>
        </w:rPr>
        <w:t>os povos indígenas isolados</w:t>
      </w:r>
      <w:r>
        <w:rPr>
          <w:rFonts w:ascii="Times New Roman" w:eastAsia="Times New Roman" w:hAnsi="Times New Roman" w:cs="Times New Roman"/>
          <w:sz w:val="24"/>
          <w:szCs w:val="24"/>
        </w:rPr>
        <w:t xml:space="preserve">. </w:t>
      </w:r>
    </w:p>
    <w:p w14:paraId="1140E2B0" w14:textId="1F76808A" w:rsidR="00E86726" w:rsidRPr="00E86726" w:rsidRDefault="00A937CB" w:rsidP="00E86726">
      <w:pPr>
        <w:suppressAutoHyphens w:val="0"/>
        <w:overflowPunct/>
        <w:autoSpaceDE w:val="0"/>
        <w:autoSpaceDN w:val="0"/>
        <w:adjustRightInd w:val="0"/>
        <w:spacing w:line="360" w:lineRule="auto"/>
        <w:ind w:firstLine="851"/>
        <w:jc w:val="both"/>
        <w:rPr>
          <w:rFonts w:ascii="Times New Roman" w:hAnsi="Times New Roman" w:cs="Times New Roman"/>
          <w:color w:val="000000"/>
          <w:sz w:val="24"/>
          <w:szCs w:val="24"/>
        </w:rPr>
      </w:pPr>
      <w:r>
        <w:rPr>
          <w:rFonts w:ascii="Times New Roman" w:eastAsia="Times New Roman" w:hAnsi="Times New Roman" w:cs="Times New Roman"/>
          <w:sz w:val="24"/>
          <w:szCs w:val="24"/>
        </w:rPr>
        <w:t xml:space="preserve">Essa realidade exige, como medida preventiva, ações de fiscalização e controle que sejam capazes de fazer cessar os ilícitos e, assim, resguardar as comunidades em tão delicado </w:t>
      </w:r>
      <w:r w:rsidRPr="00E86726">
        <w:rPr>
          <w:rFonts w:ascii="Times New Roman" w:eastAsia="Times New Roman" w:hAnsi="Times New Roman" w:cs="Times New Roman"/>
          <w:sz w:val="24"/>
          <w:szCs w:val="24"/>
        </w:rPr>
        <w:t>momento.</w:t>
      </w:r>
      <w:r w:rsidR="009C0461" w:rsidRPr="00E86726">
        <w:rPr>
          <w:rFonts w:ascii="Times New Roman" w:eastAsia="Times New Roman" w:hAnsi="Times New Roman" w:cs="Times New Roman"/>
          <w:sz w:val="24"/>
          <w:szCs w:val="24"/>
        </w:rPr>
        <w:t xml:space="preserve"> Ainda, o processo de licenciamento ambiental destas obras de infraestrutura deve </w:t>
      </w:r>
      <w:r w:rsidR="00E86726" w:rsidRPr="00E86726">
        <w:rPr>
          <w:rFonts w:ascii="Times New Roman" w:eastAsia="Times New Roman" w:hAnsi="Times New Roman" w:cs="Times New Roman"/>
          <w:sz w:val="24"/>
          <w:szCs w:val="24"/>
        </w:rPr>
        <w:t xml:space="preserve">garantir um </w:t>
      </w:r>
      <w:r w:rsidR="00E86726" w:rsidRPr="00E86726">
        <w:rPr>
          <w:rFonts w:ascii="Times New Roman" w:hAnsi="Times New Roman" w:cs="Times New Roman"/>
          <w:color w:val="000000"/>
          <w:sz w:val="24"/>
          <w:szCs w:val="24"/>
        </w:rPr>
        <w:t xml:space="preserve">procedimento administrativo destinado a </w:t>
      </w:r>
      <w:r w:rsidR="00E86726" w:rsidRPr="00E86726">
        <w:rPr>
          <w:rFonts w:ascii="Times New Roman" w:hAnsi="Times New Roman" w:cs="Times New Roman"/>
          <w:color w:val="000000"/>
          <w:sz w:val="24"/>
          <w:szCs w:val="24"/>
        </w:rPr>
        <w:t xml:space="preserve">analisar </w:t>
      </w:r>
      <w:r w:rsidR="00E86726">
        <w:rPr>
          <w:rFonts w:ascii="Times New Roman" w:hAnsi="Times New Roman" w:cs="Times New Roman"/>
          <w:color w:val="000000"/>
          <w:sz w:val="24"/>
          <w:szCs w:val="24"/>
        </w:rPr>
        <w:t xml:space="preserve">previamente os impactos ambientais, como instrumento de </w:t>
      </w:r>
      <w:r w:rsidR="00E86726" w:rsidRPr="00E86726">
        <w:rPr>
          <w:rFonts w:ascii="Times New Roman" w:hAnsi="Times New Roman" w:cs="Times New Roman"/>
          <w:color w:val="000000"/>
          <w:sz w:val="24"/>
          <w:szCs w:val="24"/>
        </w:rPr>
        <w:t>ampla proteção constitucional</w:t>
      </w:r>
      <w:r w:rsidR="00E86726">
        <w:rPr>
          <w:rFonts w:ascii="Times New Roman" w:hAnsi="Times New Roman" w:cs="Times New Roman"/>
          <w:color w:val="000000"/>
          <w:sz w:val="24"/>
          <w:szCs w:val="24"/>
        </w:rPr>
        <w:t xml:space="preserve"> e ambiental</w:t>
      </w:r>
      <w:r w:rsidR="00E86726" w:rsidRPr="00E86726">
        <w:rPr>
          <w:rFonts w:ascii="Times New Roman" w:hAnsi="Times New Roman" w:cs="Times New Roman"/>
          <w:color w:val="000000"/>
          <w:sz w:val="24"/>
          <w:szCs w:val="24"/>
        </w:rPr>
        <w:t>, consistindo em verdadeiro mecanismo de efetivação d</w:t>
      </w:r>
      <w:r w:rsidR="00E86726">
        <w:rPr>
          <w:rFonts w:ascii="Times New Roman" w:hAnsi="Times New Roman" w:cs="Times New Roman"/>
          <w:color w:val="000000"/>
          <w:sz w:val="24"/>
          <w:szCs w:val="24"/>
        </w:rPr>
        <w:t>os direitos dos povos indígenas isolados</w:t>
      </w:r>
      <w:r w:rsidR="00E86726" w:rsidRPr="00E86726">
        <w:rPr>
          <w:rFonts w:ascii="Times New Roman" w:hAnsi="Times New Roman" w:cs="Times New Roman"/>
          <w:color w:val="000000"/>
          <w:sz w:val="24"/>
          <w:szCs w:val="24"/>
        </w:rPr>
        <w:t xml:space="preserve">. </w:t>
      </w:r>
    </w:p>
    <w:p w14:paraId="7DDDCE33" w14:textId="653ACD06" w:rsidR="003439FA" w:rsidRPr="001141F1" w:rsidRDefault="00D05202" w:rsidP="001141F1">
      <w:pPr>
        <w:spacing w:line="360" w:lineRule="auto"/>
        <w:ind w:firstLine="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Diante do quadro fático delineado, </w:t>
      </w:r>
      <w:r w:rsidR="004323E4">
        <w:rPr>
          <w:rFonts w:ascii="Times New Roman" w:eastAsia="Times New Roman" w:hAnsi="Times New Roman" w:cs="Times New Roman"/>
          <w:sz w:val="24"/>
          <w:szCs w:val="24"/>
        </w:rPr>
        <w:t xml:space="preserve">a medida necessária </w:t>
      </w:r>
      <w:r>
        <w:rPr>
          <w:rFonts w:ascii="Times New Roman" w:eastAsia="Times New Roman" w:hAnsi="Times New Roman" w:cs="Times New Roman"/>
          <w:sz w:val="24"/>
          <w:szCs w:val="24"/>
        </w:rPr>
        <w:t xml:space="preserve">para salvaguardar </w:t>
      </w:r>
      <w:r w:rsidR="001141F1">
        <w:rPr>
          <w:rFonts w:ascii="Times New Roman" w:eastAsia="Times New Roman" w:hAnsi="Times New Roman" w:cs="Times New Roman"/>
          <w:sz w:val="24"/>
          <w:szCs w:val="24"/>
        </w:rPr>
        <w:t xml:space="preserve">as </w:t>
      </w:r>
      <w:r>
        <w:rPr>
          <w:rFonts w:ascii="Times New Roman" w:eastAsia="Times New Roman" w:hAnsi="Times New Roman" w:cs="Times New Roman"/>
          <w:sz w:val="24"/>
          <w:szCs w:val="24"/>
        </w:rPr>
        <w:t xml:space="preserve">vidas </w:t>
      </w:r>
      <w:r w:rsidR="001141F1">
        <w:rPr>
          <w:rFonts w:ascii="Times New Roman" w:eastAsia="Times New Roman" w:hAnsi="Times New Roman" w:cs="Times New Roman"/>
          <w:sz w:val="24"/>
          <w:szCs w:val="24"/>
        </w:rPr>
        <w:t xml:space="preserve">dos povos indígenas isolados </w:t>
      </w:r>
      <w:r>
        <w:rPr>
          <w:rFonts w:ascii="Times New Roman" w:eastAsia="Times New Roman" w:hAnsi="Times New Roman" w:cs="Times New Roman"/>
          <w:sz w:val="24"/>
          <w:szCs w:val="24"/>
        </w:rPr>
        <w:t xml:space="preserve">é a </w:t>
      </w:r>
      <w:r w:rsidR="004323E4">
        <w:rPr>
          <w:rFonts w:ascii="Times New Roman" w:eastAsia="Times New Roman" w:hAnsi="Times New Roman" w:cs="Times New Roman"/>
          <w:sz w:val="24"/>
          <w:szCs w:val="24"/>
        </w:rPr>
        <w:t>intervenção urgente</w:t>
      </w:r>
      <w:r>
        <w:rPr>
          <w:rFonts w:ascii="Times New Roman" w:eastAsia="Times New Roman" w:hAnsi="Times New Roman" w:cs="Times New Roman"/>
          <w:sz w:val="24"/>
          <w:szCs w:val="24"/>
        </w:rPr>
        <w:t xml:space="preserve">. Para isso permanecem indispensáveis medidas emergenciais para </w:t>
      </w:r>
      <w:r w:rsidR="001141F1">
        <w:rPr>
          <w:rFonts w:ascii="Times New Roman" w:eastAsia="Times New Roman" w:hAnsi="Times New Roman" w:cs="Times New Roman"/>
          <w:sz w:val="24"/>
          <w:szCs w:val="24"/>
        </w:rPr>
        <w:t xml:space="preserve">evitar a entrada de </w:t>
      </w:r>
      <w:r>
        <w:rPr>
          <w:rFonts w:ascii="Times New Roman" w:eastAsia="Times New Roman" w:hAnsi="Times New Roman" w:cs="Times New Roman"/>
          <w:sz w:val="24"/>
          <w:szCs w:val="24"/>
        </w:rPr>
        <w:t xml:space="preserve">invasores </w:t>
      </w:r>
      <w:r w:rsidR="001141F1">
        <w:rPr>
          <w:rFonts w:ascii="Times New Roman" w:eastAsia="Times New Roman" w:hAnsi="Times New Roman" w:cs="Times New Roman"/>
          <w:sz w:val="24"/>
          <w:szCs w:val="24"/>
        </w:rPr>
        <w:t xml:space="preserve">nas TIs Jacareúba-Katawixi e Pirititi, </w:t>
      </w:r>
      <w:r>
        <w:rPr>
          <w:rFonts w:ascii="Times New Roman" w:eastAsia="Times New Roman" w:hAnsi="Times New Roman" w:cs="Times New Roman"/>
          <w:sz w:val="24"/>
          <w:szCs w:val="24"/>
        </w:rPr>
        <w:t>que podem provocar o genocídio d</w:t>
      </w:r>
      <w:r w:rsidR="00000409">
        <w:rPr>
          <w:rFonts w:ascii="Times New Roman" w:eastAsia="Times New Roman" w:hAnsi="Times New Roman" w:cs="Times New Roman"/>
          <w:sz w:val="24"/>
          <w:szCs w:val="24"/>
        </w:rPr>
        <w:t xml:space="preserve">os indígenas </w:t>
      </w:r>
      <w:r>
        <w:rPr>
          <w:rFonts w:ascii="Times New Roman" w:eastAsia="Times New Roman" w:hAnsi="Times New Roman" w:cs="Times New Roman"/>
          <w:sz w:val="24"/>
          <w:szCs w:val="24"/>
        </w:rPr>
        <w:t>isolados.</w:t>
      </w:r>
    </w:p>
    <w:sectPr w:rsidR="003439FA" w:rsidRPr="001141F1" w:rsidSect="000A47D4">
      <w:footerReference w:type="default" r:id="rId22"/>
      <w:pgSz w:w="11906" w:h="16838"/>
      <w:pgMar w:top="1361" w:right="1440" w:bottom="1361" w:left="1440" w:header="0" w:footer="720" w:gutter="0"/>
      <w:pgNumType w:start="1"/>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5030E9" w14:textId="77777777" w:rsidR="00850D18" w:rsidRDefault="00850D18">
      <w:pPr>
        <w:spacing w:line="240" w:lineRule="auto"/>
      </w:pPr>
      <w:r>
        <w:separator/>
      </w:r>
    </w:p>
  </w:endnote>
  <w:endnote w:type="continuationSeparator" w:id="0">
    <w:p w14:paraId="3B16E94C" w14:textId="77777777" w:rsidR="00850D18" w:rsidRDefault="00850D1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altName w:val="Times New Roman PSMT"/>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ohit Devanagari">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Liberation Mono">
    <w:altName w:val="Courier New"/>
    <w:charset w:val="01"/>
    <w:family w:val="roman"/>
    <w:pitch w:val="variable"/>
  </w:font>
  <w:font w:name="NSimSun">
    <w:panose1 w:val="02010609030101010101"/>
    <w:charset w:val="86"/>
    <w:family w:val="modern"/>
    <w:pitch w:val="fixed"/>
    <w:sig w:usb0="0000028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5958D" w14:textId="77777777" w:rsidR="003439FA" w:rsidRDefault="00D05202">
    <w:pPr>
      <w:pStyle w:val="Rodap"/>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PAGE</w:instrText>
    </w:r>
    <w:r>
      <w:rPr>
        <w:rFonts w:ascii="Times New Roman" w:hAnsi="Times New Roman" w:cs="Times New Roman"/>
        <w:sz w:val="20"/>
        <w:szCs w:val="20"/>
      </w:rPr>
      <w:fldChar w:fldCharType="separate"/>
    </w:r>
    <w:r>
      <w:rPr>
        <w:rFonts w:ascii="Times New Roman" w:hAnsi="Times New Roman" w:cs="Times New Roman"/>
        <w:sz w:val="20"/>
        <w:szCs w:val="20"/>
      </w:rPr>
      <w:t>36</w:t>
    </w:r>
    <w:r>
      <w:rPr>
        <w:rFonts w:ascii="Times New Roman" w:hAnsi="Times New Roman" w:cs="Times New Roman"/>
        <w:sz w:val="20"/>
        <w:szCs w:val="20"/>
      </w:rPr>
      <w:fldChar w:fldCharType="end"/>
    </w:r>
  </w:p>
  <w:p w14:paraId="661721C1" w14:textId="77777777" w:rsidR="003439FA" w:rsidRDefault="003439FA">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9CE0B0" w14:textId="77777777" w:rsidR="00850D18" w:rsidRDefault="00850D18">
      <w:pPr>
        <w:rPr>
          <w:sz w:val="12"/>
        </w:rPr>
      </w:pPr>
      <w:r>
        <w:separator/>
      </w:r>
    </w:p>
  </w:footnote>
  <w:footnote w:type="continuationSeparator" w:id="0">
    <w:p w14:paraId="0E208EED" w14:textId="77777777" w:rsidR="00850D18" w:rsidRDefault="00850D18">
      <w:pPr>
        <w:rPr>
          <w:sz w:val="12"/>
        </w:rPr>
      </w:pPr>
      <w:r>
        <w:continuationSeparator/>
      </w:r>
    </w:p>
  </w:footnote>
  <w:footnote w:id="1">
    <w:p w14:paraId="3E651753" w14:textId="43863DC7" w:rsidR="003439FA" w:rsidRPr="00620392" w:rsidRDefault="00D05202">
      <w:pPr>
        <w:pStyle w:val="Textodenotaderodap"/>
        <w:jc w:val="both"/>
        <w:rPr>
          <w:rFonts w:ascii="Times New Roman" w:hAnsi="Times New Roman" w:cs="Times New Roman"/>
        </w:rPr>
      </w:pPr>
      <w:r w:rsidRPr="00620392">
        <w:rPr>
          <w:rStyle w:val="Caracteresdenotaderodap"/>
          <w:rFonts w:ascii="Times New Roman" w:hAnsi="Times New Roman" w:cs="Times New Roman"/>
        </w:rPr>
        <w:footnoteRef/>
      </w:r>
      <w:r w:rsidRPr="00620392">
        <w:rPr>
          <w:rFonts w:ascii="Times New Roman" w:hAnsi="Times New Roman" w:cs="Times New Roman"/>
        </w:rPr>
        <w:t xml:space="preserve"> </w:t>
      </w:r>
      <w:r w:rsidR="00620392">
        <w:rPr>
          <w:rFonts w:ascii="Times New Roman" w:hAnsi="Times New Roman" w:cs="Times New Roman"/>
        </w:rPr>
        <w:t>A</w:t>
      </w:r>
      <w:r w:rsidRPr="00620392">
        <w:rPr>
          <w:rFonts w:ascii="Times New Roman" w:hAnsi="Times New Roman" w:cs="Times New Roman"/>
        </w:rPr>
        <w:t xml:space="preserve"> presente </w:t>
      </w:r>
      <w:r w:rsidR="00620392">
        <w:rPr>
          <w:rFonts w:ascii="Times New Roman" w:hAnsi="Times New Roman" w:cs="Times New Roman"/>
        </w:rPr>
        <w:t xml:space="preserve">Nota Técnica </w:t>
      </w:r>
      <w:r w:rsidRPr="00620392">
        <w:rPr>
          <w:rFonts w:ascii="Times New Roman" w:hAnsi="Times New Roman" w:cs="Times New Roman"/>
        </w:rPr>
        <w:t>foi produzid</w:t>
      </w:r>
      <w:r w:rsidR="00620392">
        <w:rPr>
          <w:rFonts w:ascii="Times New Roman" w:hAnsi="Times New Roman" w:cs="Times New Roman"/>
        </w:rPr>
        <w:t>a</w:t>
      </w:r>
      <w:r w:rsidRPr="00620392">
        <w:rPr>
          <w:rFonts w:ascii="Times New Roman" w:hAnsi="Times New Roman" w:cs="Times New Roman"/>
        </w:rPr>
        <w:t xml:space="preserve"> em </w:t>
      </w:r>
      <w:r w:rsidR="00F60BA1">
        <w:rPr>
          <w:rFonts w:ascii="Times New Roman" w:hAnsi="Times New Roman" w:cs="Times New Roman"/>
        </w:rPr>
        <w:t>13</w:t>
      </w:r>
      <w:r w:rsidR="00620392">
        <w:rPr>
          <w:rFonts w:ascii="Times New Roman" w:hAnsi="Times New Roman" w:cs="Times New Roman"/>
        </w:rPr>
        <w:t xml:space="preserve"> de Novembro de </w:t>
      </w:r>
      <w:r w:rsidRPr="00620392">
        <w:rPr>
          <w:rFonts w:ascii="Times New Roman" w:hAnsi="Times New Roman" w:cs="Times New Roman"/>
        </w:rPr>
        <w:t xml:space="preserve">2021.  </w:t>
      </w:r>
    </w:p>
  </w:footnote>
  <w:footnote w:id="2">
    <w:p w14:paraId="473C97CE" w14:textId="77777777" w:rsidR="003439FA" w:rsidRPr="00620392" w:rsidRDefault="00D05202">
      <w:pPr>
        <w:spacing w:line="240" w:lineRule="auto"/>
        <w:jc w:val="both"/>
        <w:rPr>
          <w:rFonts w:ascii="Times New Roman" w:hAnsi="Times New Roman" w:cs="Times New Roman"/>
          <w:sz w:val="20"/>
          <w:szCs w:val="20"/>
        </w:rPr>
      </w:pPr>
      <w:r w:rsidRPr="00620392">
        <w:rPr>
          <w:rStyle w:val="Caracteresdenotaderodap"/>
          <w:rFonts w:ascii="Times New Roman" w:hAnsi="Times New Roman" w:cs="Times New Roman"/>
          <w:sz w:val="20"/>
          <w:szCs w:val="20"/>
        </w:rPr>
        <w:footnoteRef/>
      </w:r>
      <w:r w:rsidRPr="00620392">
        <w:rPr>
          <w:rFonts w:ascii="Times New Roman" w:hAnsi="Times New Roman" w:cs="Times New Roman"/>
          <w:sz w:val="20"/>
          <w:szCs w:val="20"/>
        </w:rPr>
        <w:t xml:space="preserve"> </w:t>
      </w:r>
      <w:r w:rsidRPr="00620392">
        <w:rPr>
          <w:rFonts w:ascii="Times New Roman" w:eastAsia="Times New Roman" w:hAnsi="Times New Roman" w:cs="Times New Roman"/>
          <w:b/>
          <w:sz w:val="20"/>
          <w:szCs w:val="20"/>
        </w:rPr>
        <w:t>Antonio Oviedo</w:t>
      </w:r>
      <w:r w:rsidRPr="00620392">
        <w:rPr>
          <w:rFonts w:ascii="Times New Roman" w:eastAsia="Times New Roman" w:hAnsi="Times New Roman" w:cs="Times New Roman"/>
          <w:sz w:val="20"/>
          <w:szCs w:val="20"/>
        </w:rPr>
        <w:t xml:space="preserve"> é Engenheiro Agrônomo e PhD em Políticas Públicas e Gestão Ambiental pela Universidade Nacional de Brasília (UnB).</w:t>
      </w:r>
    </w:p>
  </w:footnote>
  <w:footnote w:id="3">
    <w:p w14:paraId="495AD18C" w14:textId="77777777" w:rsidR="003439FA" w:rsidRPr="00620392" w:rsidRDefault="00D05202">
      <w:pPr>
        <w:pStyle w:val="Textodenotaderodap"/>
        <w:rPr>
          <w:rFonts w:ascii="Times New Roman" w:hAnsi="Times New Roman" w:cs="Times New Roman"/>
        </w:rPr>
      </w:pPr>
      <w:r w:rsidRPr="00620392">
        <w:rPr>
          <w:rStyle w:val="Caracteresdenotaderodap"/>
          <w:rFonts w:ascii="Times New Roman" w:hAnsi="Times New Roman" w:cs="Times New Roman"/>
        </w:rPr>
        <w:footnoteRef/>
      </w:r>
      <w:r w:rsidRPr="00620392">
        <w:rPr>
          <w:rFonts w:ascii="Times New Roman" w:hAnsi="Times New Roman" w:cs="Times New Roman"/>
        </w:rPr>
        <w:t xml:space="preserve"> </w:t>
      </w:r>
      <w:r w:rsidRPr="00620392">
        <w:rPr>
          <w:rFonts w:ascii="Times New Roman" w:eastAsia="Times New Roman" w:hAnsi="Times New Roman" w:cs="Times New Roman"/>
          <w:b/>
        </w:rPr>
        <w:t>Tiago Moreira dos Santos</w:t>
      </w:r>
      <w:r w:rsidRPr="00620392">
        <w:rPr>
          <w:rFonts w:ascii="Times New Roman" w:eastAsia="Times New Roman" w:hAnsi="Times New Roman" w:cs="Times New Roman"/>
        </w:rPr>
        <w:t xml:space="preserve"> é Cientista Social e Mestre em Antropologia Social pela Universidade Federal de Santa Catarina (UFSC).</w:t>
      </w:r>
    </w:p>
  </w:footnote>
  <w:footnote w:id="4">
    <w:p w14:paraId="5F27E462" w14:textId="77777777" w:rsidR="00DC71F1" w:rsidRDefault="00DC71F1" w:rsidP="00DC71F1">
      <w:pPr>
        <w:spacing w:line="240" w:lineRule="auto"/>
        <w:jc w:val="both"/>
      </w:pPr>
      <w:r>
        <w:rPr>
          <w:rStyle w:val="Caracteresdenotaderodap"/>
        </w:rPr>
        <w:footnoteRef/>
      </w:r>
      <w:r>
        <w:rPr>
          <w:rFonts w:ascii="Times New Roman" w:hAnsi="Times New Roman" w:cs="Times New Roman"/>
          <w:sz w:val="20"/>
          <w:szCs w:val="20"/>
        </w:rPr>
        <w:t xml:space="preserve"> </w:t>
      </w:r>
      <w:r>
        <w:rPr>
          <w:rFonts w:ascii="Times New Roman" w:eastAsia="Times New Roman" w:hAnsi="Times New Roman" w:cs="Times New Roman"/>
          <w:b/>
          <w:sz w:val="20"/>
          <w:szCs w:val="20"/>
        </w:rPr>
        <w:t>Juliana de Paula Batista</w:t>
      </w:r>
      <w:r>
        <w:rPr>
          <w:rFonts w:ascii="Times New Roman" w:eastAsia="Times New Roman" w:hAnsi="Times New Roman" w:cs="Times New Roman"/>
          <w:sz w:val="20"/>
          <w:szCs w:val="20"/>
        </w:rPr>
        <w:t xml:space="preserve"> é Advogada e Mestre em Direito pela Universidade Federal de Santa Catarina (UFSC).</w:t>
      </w:r>
    </w:p>
  </w:footnote>
  <w:footnote w:id="5">
    <w:p w14:paraId="405F80C4" w14:textId="1386216D" w:rsidR="00186734" w:rsidRPr="00186734" w:rsidRDefault="00186734">
      <w:pPr>
        <w:pStyle w:val="Textodenotaderodap"/>
        <w:rPr>
          <w:rFonts w:ascii="Times New Roman" w:hAnsi="Times New Roman" w:cs="Times New Roman"/>
        </w:rPr>
      </w:pPr>
      <w:r w:rsidRPr="00186734">
        <w:rPr>
          <w:rStyle w:val="Refdenotaderodap"/>
          <w:rFonts w:ascii="Times New Roman" w:hAnsi="Times New Roman" w:cs="Times New Roman"/>
        </w:rPr>
        <w:footnoteRef/>
      </w:r>
      <w:r w:rsidRPr="00186734">
        <w:rPr>
          <w:rFonts w:ascii="Times New Roman" w:hAnsi="Times New Roman" w:cs="Times New Roman"/>
        </w:rPr>
        <w:t xml:space="preserve"> Disponível em: </w:t>
      </w:r>
      <w:hyperlink r:id="rId1" w:history="1">
        <w:r w:rsidRPr="00186734">
          <w:rPr>
            <w:rStyle w:val="Hyperlink"/>
            <w:rFonts w:ascii="Times New Roman" w:hAnsi="Times New Roman" w:cs="Times New Roman"/>
            <w:color w:val="auto"/>
          </w:rPr>
          <w:t>https://www1.folha.uol.com.br/ambiente/2019/09/maioria-dos-brasileiros-defende-protecao-de-florestas-onde-vivem-indios-isolados.shtml</w:t>
        </w:r>
      </w:hyperlink>
    </w:p>
  </w:footnote>
  <w:footnote w:id="6">
    <w:p w14:paraId="16AF32BA" w14:textId="03FD1B0B" w:rsidR="004038C6" w:rsidRPr="004038C6" w:rsidRDefault="004038C6" w:rsidP="004038C6">
      <w:pPr>
        <w:suppressAutoHyphens w:val="0"/>
        <w:overflowPunct/>
        <w:autoSpaceDE w:val="0"/>
        <w:autoSpaceDN w:val="0"/>
        <w:adjustRightInd w:val="0"/>
        <w:spacing w:line="240" w:lineRule="auto"/>
        <w:rPr>
          <w:rFonts w:ascii="Times New Roman" w:hAnsi="Times New Roman" w:cs="Times New Roman"/>
          <w:sz w:val="20"/>
          <w:szCs w:val="20"/>
          <w:shd w:val="clear" w:color="auto" w:fill="FFFFFF" w:themeFill="background1"/>
        </w:rPr>
      </w:pPr>
      <w:r w:rsidRPr="004038C6">
        <w:rPr>
          <w:rStyle w:val="Refdenotaderodap"/>
          <w:rFonts w:ascii="Times New Roman" w:hAnsi="Times New Roman" w:cs="Times New Roman"/>
          <w:sz w:val="20"/>
          <w:szCs w:val="20"/>
        </w:rPr>
        <w:footnoteRef/>
      </w:r>
      <w:r w:rsidRPr="004038C6">
        <w:rPr>
          <w:rFonts w:ascii="Times New Roman" w:hAnsi="Times New Roman" w:cs="Times New Roman"/>
          <w:sz w:val="20"/>
          <w:szCs w:val="20"/>
        </w:rPr>
        <w:t xml:space="preserve"> </w:t>
      </w:r>
      <w:r w:rsidRPr="004038C6">
        <w:rPr>
          <w:rFonts w:ascii="Times New Roman" w:hAnsi="Times New Roman" w:cs="Times New Roman"/>
          <w:sz w:val="20"/>
          <w:szCs w:val="20"/>
        </w:rPr>
        <w:t>Os pães-de-índio correspondem a uma técnica especial de conservação de alimentos que envolve a manufatura, processamento e armazenamento de biomassas, e são feitos a partir de um combinado de massas vegetais mediante diferentes tecnologias, que são posteriormente enterrados. Estes pães, anteriormente confundidos com fungos, tubérculos ou torrões de barro, já foram observados em diversos sítios por arqueólogos em diferentes regiões dos estados amazônicos, não obstante, apenas recentemente passaram a receber uma atenção especial de pesquisadores e indigenistas</w:t>
      </w:r>
      <w:r w:rsidRPr="004038C6">
        <w:rPr>
          <w:rFonts w:ascii="Times New Roman" w:hAnsi="Times New Roman" w:cs="Times New Roman"/>
          <w:sz w:val="20"/>
          <w:szCs w:val="20"/>
        </w:rPr>
        <w:t>.</w:t>
      </w:r>
    </w:p>
  </w:footnote>
  <w:footnote w:id="7">
    <w:p w14:paraId="0A7D1A05" w14:textId="6A3CDF22" w:rsidR="004038C6" w:rsidRPr="004038C6" w:rsidRDefault="004038C6" w:rsidP="004038C6">
      <w:pPr>
        <w:suppressAutoHyphens w:val="0"/>
        <w:overflowPunct/>
        <w:autoSpaceDE w:val="0"/>
        <w:autoSpaceDN w:val="0"/>
        <w:adjustRightInd w:val="0"/>
        <w:spacing w:line="240" w:lineRule="auto"/>
        <w:rPr>
          <w:rFonts w:ascii="Times New Roman" w:eastAsia="Times New Roman" w:hAnsi="Times New Roman" w:cs="Times New Roman"/>
          <w:color w:val="000000"/>
          <w:sz w:val="20"/>
          <w:szCs w:val="20"/>
        </w:rPr>
      </w:pPr>
      <w:r w:rsidRPr="004038C6">
        <w:rPr>
          <w:rStyle w:val="Refdenotaderodap"/>
          <w:rFonts w:ascii="Times New Roman" w:hAnsi="Times New Roman" w:cs="Times New Roman"/>
          <w:sz w:val="20"/>
          <w:szCs w:val="20"/>
        </w:rPr>
        <w:footnoteRef/>
      </w:r>
      <w:r w:rsidRPr="004038C6">
        <w:rPr>
          <w:rFonts w:ascii="Times New Roman" w:hAnsi="Times New Roman" w:cs="Times New Roman"/>
          <w:sz w:val="20"/>
          <w:szCs w:val="20"/>
        </w:rPr>
        <w:t xml:space="preserve"> </w:t>
      </w:r>
      <w:r w:rsidRPr="004038C6">
        <w:rPr>
          <w:rFonts w:ascii="Times New Roman" w:hAnsi="Times New Roman" w:cs="Times New Roman"/>
          <w:color w:val="000000"/>
          <w:sz w:val="20"/>
          <w:szCs w:val="20"/>
        </w:rPr>
        <w:t xml:space="preserve">Os povos habitantes da floresta costumam quebrar pequenos arbustos e galhos finos por onde passam, seja para desobstruir a passagem dos caminhos, marcar algum local pretendido ou sinalizar uma mudança de direção das trilhas. </w:t>
      </w:r>
      <w:r w:rsidRPr="004038C6">
        <w:rPr>
          <w:rFonts w:ascii="Times New Roman" w:hAnsi="Times New Roman" w:cs="Times New Roman"/>
          <w:sz w:val="20"/>
          <w:szCs w:val="20"/>
        </w:rPr>
        <w:t>As quebradas indígenas que marcam os varadouros são, em geral, sequenciais, mesmo que espaçadas, e realizadas em arbustos e galhos pequenos, amiúde utilizando apenas a força de uma das mãos, ao passo que as quebradas animais podem ser feitas em diversos galhos concomitantes, e de distintas espessuras e dimensões. As quebradas humanas possuem um sentido, mesmo que tortuoso. O local onde ocorrem as quebradas é também um dado relevante, visto que permite estimar a altura de quem as produziu. Do mesmo modo, o ângulo da quebra pode revelar a direção para onde seguia o artífice da mesma.</w:t>
      </w:r>
    </w:p>
  </w:footnote>
  <w:footnote w:id="8">
    <w:p w14:paraId="462FDD68" w14:textId="77777777" w:rsidR="005157F9" w:rsidRPr="00FB24A5" w:rsidRDefault="005157F9" w:rsidP="005157F9">
      <w:pPr>
        <w:pStyle w:val="Default"/>
        <w:rPr>
          <w:rFonts w:ascii="Times New Roman" w:hAnsi="Times New Roman" w:cs="Times New Roman"/>
          <w:sz w:val="20"/>
          <w:szCs w:val="20"/>
        </w:rPr>
      </w:pPr>
      <w:r>
        <w:rPr>
          <w:rStyle w:val="Refdenotaderodap"/>
        </w:rPr>
        <w:footnoteRef/>
      </w:r>
      <w:r>
        <w:t xml:space="preserve"> </w:t>
      </w:r>
      <w:r w:rsidRPr="00FB24A5">
        <w:rPr>
          <w:rFonts w:ascii="Times New Roman" w:hAnsi="Times New Roman" w:cs="Times New Roman"/>
          <w:sz w:val="20"/>
          <w:szCs w:val="20"/>
        </w:rPr>
        <w:t xml:space="preserve">Para saber mais sobre os sistemas PRODES e DETER, do INPE, vide: Metodologia Utilizada nos Projetos PRODES e DETER. Disponível em: </w:t>
      </w:r>
    </w:p>
    <w:p w14:paraId="5788B04B" w14:textId="354DC642" w:rsidR="005157F9" w:rsidRDefault="005157F9" w:rsidP="005157F9">
      <w:pPr>
        <w:pStyle w:val="Textodenotaderodap"/>
      </w:pPr>
      <w:r w:rsidRPr="00FB24A5">
        <w:rPr>
          <w:rFonts w:ascii="Times New Roman" w:hAnsi="Times New Roman" w:cs="Times New Roman"/>
          <w:color w:val="000000"/>
        </w:rPr>
        <w:t xml:space="preserve">&lt;http://www.obt.inpe.br/OBT/assuntos/programas/amazonia/prodes/pdfs/Metodologia_Prodes_Deter_revisada.pdf&gt;. Acesso em: </w:t>
      </w:r>
      <w:r>
        <w:rPr>
          <w:rFonts w:ascii="Times New Roman" w:hAnsi="Times New Roman" w:cs="Times New Roman"/>
          <w:color w:val="000000"/>
        </w:rPr>
        <w:t>3</w:t>
      </w:r>
      <w:r w:rsidRPr="00FB24A5">
        <w:rPr>
          <w:rFonts w:ascii="Times New Roman" w:hAnsi="Times New Roman" w:cs="Times New Roman"/>
          <w:color w:val="000000"/>
        </w:rPr>
        <w:t>0.</w:t>
      </w:r>
      <w:r>
        <w:rPr>
          <w:rFonts w:ascii="Times New Roman" w:hAnsi="Times New Roman" w:cs="Times New Roman"/>
          <w:color w:val="000000"/>
        </w:rPr>
        <w:t>10</w:t>
      </w:r>
      <w:r w:rsidRPr="00FB24A5">
        <w:rPr>
          <w:rFonts w:ascii="Times New Roman" w:hAnsi="Times New Roman" w:cs="Times New Roman"/>
          <w:color w:val="000000"/>
        </w:rPr>
        <w:t xml:space="preserve">.2021. </w:t>
      </w:r>
      <w:r w:rsidRPr="00FB24A5">
        <w:rPr>
          <w:rFonts w:ascii="Times New Roman" w:hAnsi="Times New Roman" w:cs="Times New Roman"/>
          <w:color w:val="000000"/>
          <w:sz w:val="24"/>
          <w:szCs w:val="24"/>
        </w:rPr>
        <w:t xml:space="preserve"> </w:t>
      </w:r>
    </w:p>
  </w:footnote>
  <w:footnote w:id="9">
    <w:p w14:paraId="57641FC0" w14:textId="77777777" w:rsidR="00B007B0" w:rsidRPr="00643FF4" w:rsidRDefault="00B007B0" w:rsidP="00B007B0">
      <w:pPr>
        <w:pStyle w:val="NormalWeb"/>
        <w:spacing w:before="0" w:after="0"/>
        <w:jc w:val="both"/>
        <w:rPr>
          <w:sz w:val="20"/>
          <w:szCs w:val="20"/>
          <w:lang w:val="en-US"/>
        </w:rPr>
      </w:pPr>
      <w:r w:rsidRPr="00643FF4">
        <w:rPr>
          <w:rStyle w:val="Refdenotaderodap"/>
          <w:sz w:val="20"/>
          <w:szCs w:val="20"/>
        </w:rPr>
        <w:footnoteRef/>
      </w:r>
      <w:r w:rsidRPr="00643FF4">
        <w:rPr>
          <w:sz w:val="20"/>
          <w:szCs w:val="20"/>
          <w:lang w:val="en-US"/>
        </w:rPr>
        <w:t xml:space="preserve"> B</w:t>
      </w:r>
      <w:r>
        <w:rPr>
          <w:sz w:val="20"/>
          <w:szCs w:val="20"/>
          <w:lang w:val="en-US"/>
        </w:rPr>
        <w:t xml:space="preserve">arber CP, </w:t>
      </w:r>
      <w:r w:rsidRPr="00643FF4">
        <w:rPr>
          <w:sz w:val="20"/>
          <w:szCs w:val="20"/>
          <w:lang w:val="en-US"/>
        </w:rPr>
        <w:t>C</w:t>
      </w:r>
      <w:r>
        <w:rPr>
          <w:sz w:val="20"/>
          <w:szCs w:val="20"/>
          <w:lang w:val="en-US"/>
        </w:rPr>
        <w:t xml:space="preserve">ochrane MA, </w:t>
      </w:r>
      <w:r w:rsidRPr="00643FF4">
        <w:rPr>
          <w:sz w:val="20"/>
          <w:szCs w:val="20"/>
          <w:lang w:val="en-US"/>
        </w:rPr>
        <w:t>S</w:t>
      </w:r>
      <w:r>
        <w:rPr>
          <w:sz w:val="20"/>
          <w:szCs w:val="20"/>
          <w:lang w:val="en-US"/>
        </w:rPr>
        <w:t>ouza</w:t>
      </w:r>
      <w:r w:rsidRPr="00643FF4">
        <w:rPr>
          <w:sz w:val="20"/>
          <w:szCs w:val="20"/>
          <w:lang w:val="en-US"/>
        </w:rPr>
        <w:t xml:space="preserve"> C</w:t>
      </w:r>
      <w:r>
        <w:rPr>
          <w:sz w:val="20"/>
          <w:szCs w:val="20"/>
          <w:lang w:val="en-US"/>
        </w:rPr>
        <w:t xml:space="preserve">M, </w:t>
      </w:r>
      <w:r w:rsidRPr="00643FF4">
        <w:rPr>
          <w:sz w:val="20"/>
          <w:szCs w:val="20"/>
          <w:lang w:val="en-US"/>
        </w:rPr>
        <w:t>L</w:t>
      </w:r>
      <w:r>
        <w:rPr>
          <w:sz w:val="20"/>
          <w:szCs w:val="20"/>
          <w:lang w:val="en-US"/>
        </w:rPr>
        <w:t>aurence</w:t>
      </w:r>
      <w:r w:rsidRPr="00643FF4">
        <w:rPr>
          <w:sz w:val="20"/>
          <w:szCs w:val="20"/>
          <w:lang w:val="en-US"/>
        </w:rPr>
        <w:t xml:space="preserve"> W</w:t>
      </w:r>
      <w:r>
        <w:rPr>
          <w:sz w:val="20"/>
          <w:szCs w:val="20"/>
          <w:lang w:val="en-US"/>
        </w:rPr>
        <w:t>F</w:t>
      </w:r>
      <w:r w:rsidRPr="00643FF4">
        <w:rPr>
          <w:sz w:val="20"/>
          <w:szCs w:val="20"/>
          <w:lang w:val="en-US"/>
        </w:rPr>
        <w:t xml:space="preserve"> (2014) Roads, deforestation, and the mitigating effect of protected areas in the Amazon. </w:t>
      </w:r>
      <w:r w:rsidRPr="00643FF4">
        <w:rPr>
          <w:i/>
          <w:iCs/>
          <w:sz w:val="20"/>
          <w:szCs w:val="20"/>
          <w:lang w:val="en-US"/>
        </w:rPr>
        <w:t>Biological Conservation</w:t>
      </w:r>
      <w:r w:rsidRPr="00643FF4">
        <w:rPr>
          <w:sz w:val="20"/>
          <w:szCs w:val="20"/>
          <w:lang w:val="en-US"/>
        </w:rPr>
        <w:t>, Volume 177, Pages 203-209, ISSN 0006-3207, https://doi.org/10.1016/j.biocon.2014.07.004.</w:t>
      </w:r>
    </w:p>
  </w:footnote>
  <w:footnote w:id="10">
    <w:p w14:paraId="3722DA6C" w14:textId="77777777" w:rsidR="00B007B0" w:rsidRPr="00016278" w:rsidRDefault="00B007B0" w:rsidP="00B007B0">
      <w:pPr>
        <w:pStyle w:val="NormalWeb"/>
        <w:spacing w:before="0" w:after="0"/>
        <w:jc w:val="both"/>
        <w:rPr>
          <w:color w:val="333333"/>
          <w:sz w:val="20"/>
          <w:szCs w:val="20"/>
          <w:shd w:val="clear" w:color="auto" w:fill="FFFFFF"/>
        </w:rPr>
      </w:pPr>
      <w:r w:rsidRPr="00643FF4">
        <w:rPr>
          <w:rStyle w:val="Refdenotaderodap"/>
          <w:sz w:val="20"/>
          <w:szCs w:val="20"/>
        </w:rPr>
        <w:footnoteRef/>
      </w:r>
      <w:r w:rsidRPr="00643FF4">
        <w:rPr>
          <w:sz w:val="20"/>
          <w:szCs w:val="20"/>
          <w:lang w:val="en-US"/>
        </w:rPr>
        <w:t xml:space="preserve"> </w:t>
      </w:r>
      <w:r w:rsidRPr="00643FF4">
        <w:rPr>
          <w:sz w:val="20"/>
          <w:szCs w:val="20"/>
          <w:shd w:val="clear" w:color="auto" w:fill="FFFFFF"/>
          <w:lang w:val="en-US"/>
        </w:rPr>
        <w:t>K</w:t>
      </w:r>
      <w:r>
        <w:rPr>
          <w:sz w:val="20"/>
          <w:szCs w:val="20"/>
          <w:shd w:val="clear" w:color="auto" w:fill="FFFFFF"/>
          <w:lang w:val="en-US"/>
        </w:rPr>
        <w:t>umar</w:t>
      </w:r>
      <w:r w:rsidRPr="00643FF4">
        <w:rPr>
          <w:sz w:val="20"/>
          <w:szCs w:val="20"/>
          <w:shd w:val="clear" w:color="auto" w:fill="FFFFFF"/>
          <w:lang w:val="en-US"/>
        </w:rPr>
        <w:t xml:space="preserve"> SS</w:t>
      </w:r>
      <w:r>
        <w:rPr>
          <w:sz w:val="20"/>
          <w:szCs w:val="20"/>
          <w:shd w:val="clear" w:color="auto" w:fill="FFFFFF"/>
          <w:lang w:val="en-US"/>
        </w:rPr>
        <w:t xml:space="preserve">, </w:t>
      </w:r>
      <w:r w:rsidRPr="00643FF4">
        <w:rPr>
          <w:sz w:val="20"/>
          <w:szCs w:val="20"/>
          <w:shd w:val="clear" w:color="auto" w:fill="FFFFFF"/>
          <w:lang w:val="en-US"/>
        </w:rPr>
        <w:t>R</w:t>
      </w:r>
      <w:r>
        <w:rPr>
          <w:sz w:val="20"/>
          <w:szCs w:val="20"/>
          <w:shd w:val="clear" w:color="auto" w:fill="FFFFFF"/>
          <w:lang w:val="en-US"/>
        </w:rPr>
        <w:t>oy</w:t>
      </w:r>
      <w:r w:rsidRPr="00643FF4">
        <w:rPr>
          <w:sz w:val="20"/>
          <w:szCs w:val="20"/>
          <w:shd w:val="clear" w:color="auto" w:fill="FFFFFF"/>
          <w:lang w:val="en-US"/>
        </w:rPr>
        <w:t xml:space="preserve"> DP</w:t>
      </w:r>
      <w:r>
        <w:rPr>
          <w:sz w:val="20"/>
          <w:szCs w:val="20"/>
          <w:shd w:val="clear" w:color="auto" w:fill="FFFFFF"/>
          <w:lang w:val="en-US"/>
        </w:rPr>
        <w:t xml:space="preserve">, </w:t>
      </w:r>
      <w:r w:rsidRPr="00643FF4">
        <w:rPr>
          <w:sz w:val="20"/>
          <w:szCs w:val="20"/>
          <w:shd w:val="clear" w:color="auto" w:fill="FFFFFF"/>
          <w:lang w:val="en-US"/>
        </w:rPr>
        <w:t>C</w:t>
      </w:r>
      <w:r>
        <w:rPr>
          <w:sz w:val="20"/>
          <w:szCs w:val="20"/>
          <w:shd w:val="clear" w:color="auto" w:fill="FFFFFF"/>
          <w:lang w:val="en-US"/>
        </w:rPr>
        <w:t>ochrane</w:t>
      </w:r>
      <w:r w:rsidRPr="00643FF4">
        <w:rPr>
          <w:sz w:val="20"/>
          <w:szCs w:val="20"/>
          <w:shd w:val="clear" w:color="auto" w:fill="FFFFFF"/>
          <w:lang w:val="en-US"/>
        </w:rPr>
        <w:t xml:space="preserve"> MA</w:t>
      </w:r>
      <w:r>
        <w:rPr>
          <w:sz w:val="20"/>
          <w:szCs w:val="20"/>
          <w:shd w:val="clear" w:color="auto" w:fill="FFFFFF"/>
          <w:lang w:val="en-US"/>
        </w:rPr>
        <w:t xml:space="preserve">, </w:t>
      </w:r>
      <w:r w:rsidRPr="00643FF4">
        <w:rPr>
          <w:sz w:val="20"/>
          <w:szCs w:val="20"/>
          <w:shd w:val="clear" w:color="auto" w:fill="FFFFFF"/>
          <w:lang w:val="en-US"/>
        </w:rPr>
        <w:t>S</w:t>
      </w:r>
      <w:r>
        <w:rPr>
          <w:sz w:val="20"/>
          <w:szCs w:val="20"/>
          <w:shd w:val="clear" w:color="auto" w:fill="FFFFFF"/>
          <w:lang w:val="en-US"/>
        </w:rPr>
        <w:t>ouza</w:t>
      </w:r>
      <w:r w:rsidRPr="00643FF4">
        <w:rPr>
          <w:sz w:val="20"/>
          <w:szCs w:val="20"/>
          <w:shd w:val="clear" w:color="auto" w:fill="FFFFFF"/>
          <w:lang w:val="en-US"/>
        </w:rPr>
        <w:t xml:space="preserve"> CM</w:t>
      </w:r>
      <w:r>
        <w:rPr>
          <w:sz w:val="20"/>
          <w:szCs w:val="20"/>
          <w:shd w:val="clear" w:color="auto" w:fill="FFFFFF"/>
          <w:lang w:val="en-US"/>
        </w:rPr>
        <w:t xml:space="preserve">, </w:t>
      </w:r>
      <w:r w:rsidRPr="00643FF4">
        <w:rPr>
          <w:sz w:val="20"/>
          <w:szCs w:val="20"/>
          <w:shd w:val="clear" w:color="auto" w:fill="FFFFFF"/>
          <w:lang w:val="en-US"/>
        </w:rPr>
        <w:t>B</w:t>
      </w:r>
      <w:r>
        <w:rPr>
          <w:sz w:val="20"/>
          <w:szCs w:val="20"/>
          <w:shd w:val="clear" w:color="auto" w:fill="FFFFFF"/>
          <w:lang w:val="en-US"/>
        </w:rPr>
        <w:t>arber</w:t>
      </w:r>
      <w:r w:rsidRPr="00643FF4">
        <w:rPr>
          <w:sz w:val="20"/>
          <w:szCs w:val="20"/>
          <w:shd w:val="clear" w:color="auto" w:fill="FFFFFF"/>
          <w:lang w:val="en-US"/>
        </w:rPr>
        <w:t xml:space="preserve"> CP</w:t>
      </w:r>
      <w:r>
        <w:rPr>
          <w:sz w:val="20"/>
          <w:szCs w:val="20"/>
          <w:shd w:val="clear" w:color="auto" w:fill="FFFFFF"/>
          <w:lang w:val="en-US"/>
        </w:rPr>
        <w:t xml:space="preserve">, </w:t>
      </w:r>
      <w:r w:rsidRPr="00643FF4">
        <w:rPr>
          <w:sz w:val="20"/>
          <w:szCs w:val="20"/>
          <w:shd w:val="clear" w:color="auto" w:fill="FFFFFF"/>
          <w:lang w:val="en-US"/>
        </w:rPr>
        <w:t>B</w:t>
      </w:r>
      <w:r>
        <w:rPr>
          <w:sz w:val="20"/>
          <w:szCs w:val="20"/>
          <w:shd w:val="clear" w:color="auto" w:fill="FFFFFF"/>
          <w:lang w:val="en-US"/>
        </w:rPr>
        <w:t>oschetti</w:t>
      </w:r>
      <w:r w:rsidRPr="00643FF4">
        <w:rPr>
          <w:sz w:val="20"/>
          <w:szCs w:val="20"/>
          <w:shd w:val="clear" w:color="auto" w:fill="FFFFFF"/>
          <w:lang w:val="en-US"/>
        </w:rPr>
        <w:t xml:space="preserve"> L. (2014) A quantitative study of the proximity of satellite detected active fires to roads and rivers in the Brazilian tropical moist forest biome. </w:t>
      </w:r>
      <w:r w:rsidRPr="00016278">
        <w:rPr>
          <w:i/>
          <w:iCs/>
          <w:sz w:val="20"/>
          <w:szCs w:val="20"/>
          <w:shd w:val="clear" w:color="auto" w:fill="FFFFFF"/>
        </w:rPr>
        <w:t>International Journal of Wildland Fire</w:t>
      </w:r>
      <w:r w:rsidRPr="00016278">
        <w:rPr>
          <w:sz w:val="20"/>
          <w:szCs w:val="20"/>
          <w:shd w:val="clear" w:color="auto" w:fill="FFFFFF"/>
        </w:rPr>
        <w:t xml:space="preserve"> 23(4):532-543</w:t>
      </w:r>
      <w:r w:rsidRPr="00016278">
        <w:rPr>
          <w:color w:val="333333"/>
          <w:sz w:val="20"/>
          <w:szCs w:val="20"/>
          <w:shd w:val="clear" w:color="auto" w:fill="FFFFFF"/>
        </w:rPr>
        <w:t>.</w:t>
      </w:r>
    </w:p>
  </w:footnote>
  <w:footnote w:id="11">
    <w:p w14:paraId="4F223AA0" w14:textId="77777777" w:rsidR="00B007B0" w:rsidRPr="00643FF4" w:rsidRDefault="00B007B0" w:rsidP="00B007B0">
      <w:pPr>
        <w:jc w:val="both"/>
        <w:rPr>
          <w:color w:val="000000"/>
          <w:sz w:val="20"/>
          <w:szCs w:val="20"/>
        </w:rPr>
      </w:pPr>
      <w:r w:rsidRPr="00643FF4">
        <w:rPr>
          <w:rStyle w:val="Refdenotaderodap"/>
          <w:sz w:val="20"/>
          <w:szCs w:val="20"/>
        </w:rPr>
        <w:footnoteRef/>
      </w:r>
      <w:r w:rsidRPr="00643FF4">
        <w:rPr>
          <w:sz w:val="20"/>
          <w:szCs w:val="20"/>
        </w:rPr>
        <w:t xml:space="preserve"> </w:t>
      </w:r>
      <w:r w:rsidRPr="00643FF4">
        <w:rPr>
          <w:color w:val="000000"/>
          <w:sz w:val="20"/>
          <w:szCs w:val="20"/>
          <w:shd w:val="clear" w:color="auto" w:fill="FFFFFF"/>
        </w:rPr>
        <w:t xml:space="preserve">Soares-Filho B, Davis J, Rajão R (2020) Pavimentação da BR-319, a rodovia do desmatamento. CSR e LAGESA, Nota técnica. Disponível em: </w:t>
      </w:r>
      <w:hyperlink r:id="rId2" w:tgtFrame="_blank" w:history="1">
        <w:r w:rsidRPr="00643FF4">
          <w:rPr>
            <w:rStyle w:val="Hyperlink"/>
            <w:color w:val="1155CC"/>
            <w:sz w:val="20"/>
            <w:szCs w:val="20"/>
          </w:rPr>
          <w:t>https://csr.ufmg.br/csr/wp-content/uploads/2020/11/Nota_tecnica_112020-01_pavimentacao_BR_319.pdf</w:t>
        </w:r>
      </w:hyperlink>
    </w:p>
  </w:footnote>
  <w:footnote w:id="12">
    <w:p w14:paraId="6F2FDA59" w14:textId="77777777" w:rsidR="00B007B0" w:rsidRPr="00016278" w:rsidRDefault="00B007B0" w:rsidP="00B007B0">
      <w:pPr>
        <w:pStyle w:val="Textodenotaderodap"/>
        <w:jc w:val="both"/>
        <w:rPr>
          <w:rFonts w:ascii="Times New Roman" w:hAnsi="Times New Roman"/>
        </w:rPr>
      </w:pPr>
      <w:r w:rsidRPr="00643FF4">
        <w:rPr>
          <w:rStyle w:val="Refdenotaderodap"/>
          <w:rFonts w:ascii="Times New Roman" w:hAnsi="Times New Roman"/>
        </w:rPr>
        <w:footnoteRef/>
      </w:r>
      <w:r w:rsidRPr="00016278">
        <w:rPr>
          <w:rFonts w:ascii="Times New Roman" w:hAnsi="Times New Roman"/>
        </w:rPr>
        <w:t xml:space="preserve"> Soares-Filho BS, Nepstad D, Curran L, Voll E, Cerqueira G, Garcia RA, Ramos CA, Mcdonald A, Lefebvre P, Schlesdinger P (2006) Modeling conservation in the Amazon basin. Nature, 440:520-523. </w:t>
      </w:r>
    </w:p>
    <w:p w14:paraId="19D87A73" w14:textId="77777777" w:rsidR="00B007B0" w:rsidRPr="00016278" w:rsidRDefault="00B007B0" w:rsidP="00B007B0">
      <w:pPr>
        <w:pStyle w:val="Textodenotaderodap"/>
        <w:jc w:val="both"/>
        <w:rPr>
          <w:rFonts w:ascii="Times New Roman" w:hAnsi="Times New Roman"/>
        </w:rPr>
      </w:pPr>
      <w:r w:rsidRPr="00016278">
        <w:rPr>
          <w:rFonts w:ascii="Times New Roman" w:hAnsi="Times New Roman"/>
        </w:rPr>
        <w:t>Soares-Filho BS, Moutinho P, Nepstad D, Anderson A, Rodrigues H, Garcia R, Dietschi L, Merry F, Bowman M, Hissa L, Silvestrini R, Maretti C (2010) Role of Brazilian Amazon protected areas in climate change mitigation. Proceedings of the National Academy of Sciences, 107:10821–10826</w:t>
      </w:r>
    </w:p>
  </w:footnote>
  <w:footnote w:id="13">
    <w:p w14:paraId="20DE59D5" w14:textId="77777777" w:rsidR="00B007B0" w:rsidRPr="00016278" w:rsidRDefault="00B007B0" w:rsidP="00B007B0">
      <w:pPr>
        <w:pStyle w:val="Textodenotaderodap"/>
        <w:jc w:val="both"/>
        <w:rPr>
          <w:rFonts w:ascii="Times New Roman" w:hAnsi="Times New Roman"/>
        </w:rPr>
      </w:pPr>
      <w:r w:rsidRPr="00643FF4">
        <w:rPr>
          <w:rStyle w:val="Refdenotaderodap"/>
          <w:rFonts w:ascii="Times New Roman" w:hAnsi="Times New Roman"/>
        </w:rPr>
        <w:footnoteRef/>
      </w:r>
      <w:r w:rsidRPr="00016278">
        <w:rPr>
          <w:rFonts w:ascii="Times New Roman" w:hAnsi="Times New Roman"/>
        </w:rPr>
        <w:t xml:space="preserve"> INPE. Projeto PRODES – Monitoramento da Floresta Amazônica Brasileira por Satélite. (2020).</w:t>
      </w:r>
    </w:p>
  </w:footnote>
  <w:footnote w:id="14">
    <w:p w14:paraId="0D2901DF" w14:textId="77777777" w:rsidR="00B007B0" w:rsidRPr="00016278" w:rsidRDefault="00B007B0" w:rsidP="00B007B0">
      <w:pPr>
        <w:pStyle w:val="Textodenotaderodap"/>
        <w:jc w:val="both"/>
        <w:rPr>
          <w:rFonts w:ascii="Times New Roman" w:hAnsi="Times New Roman"/>
        </w:rPr>
      </w:pPr>
      <w:r w:rsidRPr="00643FF4">
        <w:rPr>
          <w:rStyle w:val="Refdenotaderodap"/>
          <w:rFonts w:ascii="Times New Roman" w:hAnsi="Times New Roman"/>
        </w:rPr>
        <w:footnoteRef/>
      </w:r>
      <w:r w:rsidRPr="00016278">
        <w:rPr>
          <w:rFonts w:ascii="Times New Roman" w:hAnsi="Times New Roman"/>
        </w:rPr>
        <w:t xml:space="preserve"> INPE. Projeto PRODES – Monitoramento da Floresta Amazônica Brasileira por Satélite. (2020).</w:t>
      </w:r>
    </w:p>
  </w:footnote>
  <w:footnote w:id="15">
    <w:p w14:paraId="5C787C9A" w14:textId="0FB9E3DC" w:rsidR="00125E17" w:rsidRPr="00E25CBB" w:rsidRDefault="00125E17">
      <w:pPr>
        <w:pStyle w:val="Textodenotaderodap"/>
        <w:rPr>
          <w:rFonts w:ascii="Times New Roman" w:hAnsi="Times New Roman" w:cs="Times New Roman"/>
        </w:rPr>
      </w:pPr>
      <w:r w:rsidRPr="00E25CBB">
        <w:rPr>
          <w:rStyle w:val="Refdenotaderodap"/>
          <w:rFonts w:ascii="Times New Roman" w:hAnsi="Times New Roman" w:cs="Times New Roman"/>
        </w:rPr>
        <w:footnoteRef/>
      </w:r>
      <w:r w:rsidRPr="00E25CBB">
        <w:rPr>
          <w:rFonts w:ascii="Times New Roman" w:hAnsi="Times New Roman" w:cs="Times New Roman"/>
        </w:rPr>
        <w:t xml:space="preserve"> OVIEDO, A.F.P.; SOARES-FILHO, B.; LIMA, W.P.; SANTOS, T.M.;</w:t>
      </w:r>
      <w:r w:rsidR="00E25CBB" w:rsidRPr="00E25CBB">
        <w:rPr>
          <w:rFonts w:ascii="Times New Roman" w:hAnsi="Times New Roman" w:cs="Times New Roman"/>
        </w:rPr>
        <w:t xml:space="preserve"> LELES, W.; RIBEIRO, A. Ameaças futuras aos territórios dos povos isolados na Amazônia brasileira. In: RICARDO, F.; GONGORA, M.F. (org) Cercos e resistências: Povos indígenas isolados na Amazônia brasileira. São Paulo, Instituto Socioambiental, 2019. p: 48-57.</w:t>
      </w:r>
    </w:p>
  </w:footnote>
  <w:footnote w:id="16">
    <w:p w14:paraId="485BFD86" w14:textId="77777777" w:rsidR="00A36E83" w:rsidRPr="003817B8" w:rsidRDefault="00A36E83" w:rsidP="00A36E83">
      <w:pPr>
        <w:shd w:val="clear" w:color="auto" w:fill="FFFFFF"/>
        <w:spacing w:line="240" w:lineRule="auto"/>
        <w:jc w:val="both"/>
        <w:rPr>
          <w:rFonts w:ascii="Times New Roman" w:hAnsi="Times New Roman" w:cs="Times New Roman"/>
          <w:sz w:val="20"/>
          <w:szCs w:val="20"/>
        </w:rPr>
      </w:pPr>
      <w:r w:rsidRPr="003817B8">
        <w:rPr>
          <w:rStyle w:val="Refdenotaderodap"/>
          <w:rFonts w:ascii="Times New Roman" w:hAnsi="Times New Roman" w:cs="Times New Roman"/>
          <w:sz w:val="20"/>
          <w:szCs w:val="20"/>
        </w:rPr>
        <w:footnoteRef/>
      </w:r>
      <w:r w:rsidRPr="003817B8">
        <w:rPr>
          <w:rFonts w:ascii="Times New Roman" w:hAnsi="Times New Roman" w:cs="Times New Roman"/>
          <w:sz w:val="20"/>
          <w:szCs w:val="20"/>
        </w:rPr>
        <w:t xml:space="preserve"> O Sistema de Indicação por Radar de Desmatamento (Sirad) consiste em uma série de algoritmos que processam as informações do Satélite Sentinel-1 e utilizam imagens de alta resolução Planet para validação. Ele opera na plataforma Google Earth Engine por uma equipe de analistas que examina as áreas objeto de monitoramento. O sistema é implementado na bacia do Xingu e nas terras indígenas com registros de povos isolados, procurando visualmente por anomalias nas imagens produzidas. Os boletins do SIRAD estão disponíveis nos sites do ISA: &lt;https://xingumais.org.br/categoria/Sirad%20X&gt;, &lt;</w:t>
      </w:r>
      <w:hyperlink r:id="rId3" w:tgtFrame="_blank" w:history="1">
        <w:r w:rsidRPr="003817B8">
          <w:rPr>
            <w:rStyle w:val="Hyperlink"/>
            <w:rFonts w:ascii="Times New Roman" w:hAnsi="Times New Roman" w:cs="Times New Roman"/>
            <w:color w:val="auto"/>
            <w:sz w:val="20"/>
            <w:szCs w:val="20"/>
            <w:u w:val="none"/>
          </w:rPr>
          <w:t>https://isa.to/31eiy98</w:t>
        </w:r>
      </w:hyperlink>
      <w:r w:rsidRPr="003817B8">
        <w:rPr>
          <w:rFonts w:ascii="Times New Roman" w:hAnsi="Times New Roman" w:cs="Times New Roman"/>
          <w:sz w:val="20"/>
          <w:szCs w:val="20"/>
        </w:rPr>
        <w:t>&gt;. O SIRAD utiliza imagens de radar</w:t>
      </w:r>
      <w:r>
        <w:rPr>
          <w:rFonts w:ascii="Times New Roman" w:hAnsi="Times New Roman" w:cs="Times New Roman"/>
          <w:sz w:val="20"/>
          <w:szCs w:val="20"/>
        </w:rPr>
        <w:t xml:space="preserve">, as quais fornecem </w:t>
      </w:r>
      <w:r w:rsidRPr="003817B8">
        <w:rPr>
          <w:rFonts w:ascii="Times New Roman" w:hAnsi="Times New Roman" w:cs="Times New Roman"/>
          <w:sz w:val="20"/>
          <w:szCs w:val="20"/>
        </w:rPr>
        <w:t xml:space="preserve">informações mesmo em período de alta cobertura de nuvens (quando o Deter não funciona, pois os seus sensores detectam </w:t>
      </w:r>
      <w:r>
        <w:rPr>
          <w:rFonts w:ascii="Times New Roman" w:hAnsi="Times New Roman" w:cs="Times New Roman"/>
          <w:sz w:val="20"/>
          <w:szCs w:val="20"/>
        </w:rPr>
        <w:t>nuvens</w:t>
      </w:r>
      <w:r w:rsidRPr="003817B8">
        <w:rPr>
          <w:rFonts w:ascii="Times New Roman" w:hAnsi="Times New Roman" w:cs="Times New Roman"/>
          <w:sz w:val="20"/>
          <w:szCs w:val="20"/>
        </w:rPr>
        <w:t xml:space="preserve"> e, por isso, não </w:t>
      </w:r>
      <w:r>
        <w:rPr>
          <w:rFonts w:ascii="Times New Roman" w:hAnsi="Times New Roman" w:cs="Times New Roman"/>
          <w:sz w:val="20"/>
          <w:szCs w:val="20"/>
        </w:rPr>
        <w:t>registram a superfície da terra</w:t>
      </w:r>
      <w:r w:rsidRPr="003817B8">
        <w:rPr>
          <w:rFonts w:ascii="Times New Roman" w:hAnsi="Times New Roman" w:cs="Times New Roman"/>
          <w:sz w:val="20"/>
          <w:szCs w:val="20"/>
        </w:rPr>
        <w:t>). Para saber mais, vide: &lt;https://www.socioambiental.org/pt-br/noticias-socioambientais/desmatamento-no-xingu-avanca-com-governo-bolsonaro-e-poe-em-risco-escudo-verde-contra-a-desertificacao-da-amazonia&gt;.</w:t>
      </w:r>
    </w:p>
  </w:footnote>
  <w:footnote w:id="17">
    <w:p w14:paraId="75D038EB" w14:textId="6D709CF1" w:rsidR="000A0E27" w:rsidRPr="009B5E6D" w:rsidRDefault="000A0E27">
      <w:pPr>
        <w:pStyle w:val="Textodenotaderodap"/>
        <w:rPr>
          <w:rFonts w:ascii="Times New Roman" w:hAnsi="Times New Roman" w:cs="Times New Roman"/>
        </w:rPr>
      </w:pPr>
      <w:r w:rsidRPr="000A0E27">
        <w:rPr>
          <w:rStyle w:val="Refdenotaderodap"/>
          <w:rFonts w:ascii="Times New Roman" w:hAnsi="Times New Roman" w:cs="Times New Roman"/>
        </w:rPr>
        <w:footnoteRef/>
      </w:r>
      <w:r w:rsidRPr="009B5E6D">
        <w:rPr>
          <w:rFonts w:ascii="Times New Roman" w:hAnsi="Times New Roman" w:cs="Times New Roman"/>
        </w:rPr>
        <w:t xml:space="preserve"> </w:t>
      </w:r>
      <w:r w:rsidRPr="009B5E6D">
        <w:rPr>
          <w:rFonts w:ascii="Times New Roman" w:hAnsi="Times New Roman" w:cs="Times New Roman"/>
        </w:rPr>
        <w:t>Procedimento Administrativo no 1.00.000.008996/2019-64</w:t>
      </w:r>
    </w:p>
  </w:footnote>
  <w:footnote w:id="18">
    <w:p w14:paraId="7D887BD4" w14:textId="77777777" w:rsidR="005D0E68" w:rsidRPr="00E25CBB" w:rsidRDefault="005D0E68" w:rsidP="005D0E68">
      <w:pPr>
        <w:pStyle w:val="Textodenotaderodap"/>
        <w:rPr>
          <w:rFonts w:ascii="Times New Roman" w:hAnsi="Times New Roman" w:cs="Times New Roman"/>
        </w:rPr>
      </w:pPr>
      <w:r w:rsidRPr="00E25CBB">
        <w:rPr>
          <w:rStyle w:val="Refdenotaderodap"/>
          <w:rFonts w:ascii="Times New Roman" w:hAnsi="Times New Roman" w:cs="Times New Roman"/>
        </w:rPr>
        <w:footnoteRef/>
      </w:r>
      <w:r w:rsidRPr="00E25CBB">
        <w:rPr>
          <w:rFonts w:ascii="Times New Roman" w:hAnsi="Times New Roman" w:cs="Times New Roman"/>
        </w:rPr>
        <w:t xml:space="preserve"> OVIEDO, A.F.P.; SOARES-FILHO, B.; LIMA, W.P.; SANTOS, T.M.; LELES, W.; RIBEIRO, A. Ameaças futuras aos territórios dos povos isolados na Amazônia brasileira. In: RICARDO, F.; GONGORA, M.F. (org) Cercos e resistências: Povos indígenas isolados na Amazônia brasileira. São Paulo, Instituto Socioambiental, 2019. p: 48-57.</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efaultTabStop w:val="408"/>
  <w:autoHyphenation/>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39FA"/>
    <w:rsid w:val="00000409"/>
    <w:rsid w:val="000077A3"/>
    <w:rsid w:val="00034356"/>
    <w:rsid w:val="000949C1"/>
    <w:rsid w:val="000A0E27"/>
    <w:rsid w:val="000A47D4"/>
    <w:rsid w:val="000C7407"/>
    <w:rsid w:val="000F5CD0"/>
    <w:rsid w:val="0011317A"/>
    <w:rsid w:val="001141F1"/>
    <w:rsid w:val="00115829"/>
    <w:rsid w:val="00125E17"/>
    <w:rsid w:val="001568F3"/>
    <w:rsid w:val="00186734"/>
    <w:rsid w:val="001A7D84"/>
    <w:rsid w:val="001E695C"/>
    <w:rsid w:val="00211D64"/>
    <w:rsid w:val="002128B9"/>
    <w:rsid w:val="00213331"/>
    <w:rsid w:val="0024183D"/>
    <w:rsid w:val="00245554"/>
    <w:rsid w:val="002661A4"/>
    <w:rsid w:val="00296CF6"/>
    <w:rsid w:val="002E7B75"/>
    <w:rsid w:val="002E7D44"/>
    <w:rsid w:val="00317CD7"/>
    <w:rsid w:val="003439FA"/>
    <w:rsid w:val="003817B8"/>
    <w:rsid w:val="003D6197"/>
    <w:rsid w:val="003F3B96"/>
    <w:rsid w:val="004038C6"/>
    <w:rsid w:val="004323E4"/>
    <w:rsid w:val="004C61B9"/>
    <w:rsid w:val="004F17B7"/>
    <w:rsid w:val="00504AAA"/>
    <w:rsid w:val="005157F9"/>
    <w:rsid w:val="0053399E"/>
    <w:rsid w:val="00540047"/>
    <w:rsid w:val="0054051F"/>
    <w:rsid w:val="0059037A"/>
    <w:rsid w:val="005B37AC"/>
    <w:rsid w:val="005D01C3"/>
    <w:rsid w:val="005D0E68"/>
    <w:rsid w:val="006132EA"/>
    <w:rsid w:val="00620392"/>
    <w:rsid w:val="00642FFC"/>
    <w:rsid w:val="00674CF5"/>
    <w:rsid w:val="00682B31"/>
    <w:rsid w:val="00696BE2"/>
    <w:rsid w:val="0070306C"/>
    <w:rsid w:val="00717043"/>
    <w:rsid w:val="0073416E"/>
    <w:rsid w:val="007A34A1"/>
    <w:rsid w:val="007B644C"/>
    <w:rsid w:val="00801124"/>
    <w:rsid w:val="00850D18"/>
    <w:rsid w:val="008D375C"/>
    <w:rsid w:val="008E7B9D"/>
    <w:rsid w:val="008F7721"/>
    <w:rsid w:val="00904ABE"/>
    <w:rsid w:val="0092553D"/>
    <w:rsid w:val="009B5E50"/>
    <w:rsid w:val="009B5E6D"/>
    <w:rsid w:val="009C0461"/>
    <w:rsid w:val="00A23110"/>
    <w:rsid w:val="00A301ED"/>
    <w:rsid w:val="00A36E83"/>
    <w:rsid w:val="00A52962"/>
    <w:rsid w:val="00A53FF6"/>
    <w:rsid w:val="00A937CB"/>
    <w:rsid w:val="00AC157D"/>
    <w:rsid w:val="00AC3F5C"/>
    <w:rsid w:val="00AE193B"/>
    <w:rsid w:val="00AF7394"/>
    <w:rsid w:val="00B007B0"/>
    <w:rsid w:val="00B05DE2"/>
    <w:rsid w:val="00B14680"/>
    <w:rsid w:val="00B2708C"/>
    <w:rsid w:val="00B42E5C"/>
    <w:rsid w:val="00B61543"/>
    <w:rsid w:val="00B61BB3"/>
    <w:rsid w:val="00B84693"/>
    <w:rsid w:val="00BA29A5"/>
    <w:rsid w:val="00BA659E"/>
    <w:rsid w:val="00BC6359"/>
    <w:rsid w:val="00C16225"/>
    <w:rsid w:val="00C72DF9"/>
    <w:rsid w:val="00C75785"/>
    <w:rsid w:val="00C814C4"/>
    <w:rsid w:val="00C90E6D"/>
    <w:rsid w:val="00CB2087"/>
    <w:rsid w:val="00CB344D"/>
    <w:rsid w:val="00CB6285"/>
    <w:rsid w:val="00CC34B4"/>
    <w:rsid w:val="00D05202"/>
    <w:rsid w:val="00D12484"/>
    <w:rsid w:val="00D546B1"/>
    <w:rsid w:val="00DA123E"/>
    <w:rsid w:val="00DC71F1"/>
    <w:rsid w:val="00E0204A"/>
    <w:rsid w:val="00E05951"/>
    <w:rsid w:val="00E152F9"/>
    <w:rsid w:val="00E25CBB"/>
    <w:rsid w:val="00E33FA6"/>
    <w:rsid w:val="00E43AC6"/>
    <w:rsid w:val="00E7783B"/>
    <w:rsid w:val="00E86726"/>
    <w:rsid w:val="00EA3DE3"/>
    <w:rsid w:val="00EB46A0"/>
    <w:rsid w:val="00EC24AD"/>
    <w:rsid w:val="00EF6EFE"/>
    <w:rsid w:val="00F04548"/>
    <w:rsid w:val="00F60BA1"/>
    <w:rsid w:val="00F621C1"/>
    <w:rsid w:val="00F90168"/>
    <w:rsid w:val="00F93218"/>
    <w:rsid w:val="00FA131A"/>
    <w:rsid w:val="00FB24A5"/>
    <w:rsid w:val="00FB4370"/>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692592"/>
  <w15:docId w15:val="{ABE165A6-339B-4330-873E-C04B4A72A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Cs w:val="22"/>
        <w:lang w:val="pt-BR" w:eastAsia="pt-BR"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spacing w:line="276" w:lineRule="auto"/>
    </w:pPr>
    <w:rPr>
      <w:sz w:val="22"/>
    </w:rPr>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extodenotaderodapChar">
    <w:name w:val="Texto de nota de rodapé Char"/>
    <w:aliases w:val=" Char Char,fn Char, Char Char Char Char Char Char Char, Char Char Char Char Char, Char Char Char Char1, Char Char Char Char Char Char Char Char Char,Char Char Char1,Char Char Char Char,Char Char Char Char Char Char,f Char"/>
    <w:basedOn w:val="Fontepargpadro"/>
    <w:uiPriority w:val="99"/>
    <w:qFormat/>
    <w:rPr>
      <w:sz w:val="20"/>
      <w:szCs w:val="20"/>
    </w:rPr>
  </w:style>
  <w:style w:type="character" w:customStyle="1" w:styleId="ncoradanotaderodap">
    <w:name w:val="Âncora da nota de rodapé"/>
    <w:rPr>
      <w:vertAlign w:val="superscript"/>
    </w:rPr>
  </w:style>
  <w:style w:type="character" w:customStyle="1" w:styleId="FootnoteCharacters">
    <w:name w:val="Footnote Characters"/>
    <w:basedOn w:val="Fontepargpadro"/>
    <w:qFormat/>
    <w:rPr>
      <w:vertAlign w:val="superscript"/>
    </w:rPr>
  </w:style>
  <w:style w:type="character" w:customStyle="1" w:styleId="LinkdaInternet">
    <w:name w:val="Link da Internet"/>
    <w:basedOn w:val="Fontepargpadro"/>
    <w:rPr>
      <w:color w:val="0000FF"/>
      <w:u w:val="single"/>
    </w:rPr>
  </w:style>
  <w:style w:type="character" w:customStyle="1" w:styleId="CabealhoChar">
    <w:name w:val="Cabeçalho Char"/>
    <w:basedOn w:val="Fontepargpadro"/>
    <w:qFormat/>
  </w:style>
  <w:style w:type="character" w:customStyle="1" w:styleId="RodapChar">
    <w:name w:val="Rodapé Char"/>
    <w:basedOn w:val="Fontepargpadro"/>
    <w:qFormat/>
  </w:style>
  <w:style w:type="character" w:styleId="Refdecomentrio">
    <w:name w:val="annotation reference"/>
    <w:basedOn w:val="Fontepargpadro"/>
    <w:qFormat/>
    <w:rPr>
      <w:sz w:val="16"/>
      <w:szCs w:val="16"/>
    </w:rPr>
  </w:style>
  <w:style w:type="character" w:customStyle="1" w:styleId="TextodecomentrioChar">
    <w:name w:val="Texto de comentário Char"/>
    <w:basedOn w:val="Fontepargpadro"/>
    <w:qFormat/>
    <w:rPr>
      <w:sz w:val="20"/>
      <w:szCs w:val="20"/>
    </w:rPr>
  </w:style>
  <w:style w:type="character" w:customStyle="1" w:styleId="AssuntodocomentrioChar">
    <w:name w:val="Assunto do comentário Char"/>
    <w:basedOn w:val="TextodecomentrioChar"/>
    <w:qFormat/>
    <w:rPr>
      <w:b/>
      <w:bCs/>
      <w:sz w:val="20"/>
      <w:szCs w:val="20"/>
    </w:rPr>
  </w:style>
  <w:style w:type="character" w:customStyle="1" w:styleId="TextodebaloChar">
    <w:name w:val="Texto de balão Char"/>
    <w:basedOn w:val="Fontepargpadro"/>
    <w:qFormat/>
    <w:rPr>
      <w:rFonts w:ascii="Segoe UI" w:hAnsi="Segoe UI" w:cs="Segoe UI"/>
      <w:sz w:val="18"/>
      <w:szCs w:val="18"/>
    </w:rPr>
  </w:style>
  <w:style w:type="character" w:customStyle="1" w:styleId="MenoPendente1">
    <w:name w:val="Menção Pendente1"/>
    <w:basedOn w:val="Fontepargpadro"/>
    <w:qFormat/>
    <w:rPr>
      <w:color w:val="605E5C"/>
      <w:highlight w:val="lightGray"/>
    </w:rPr>
  </w:style>
  <w:style w:type="character" w:customStyle="1" w:styleId="Caracteresdenotaderodap">
    <w:name w:val="Caracteres de nota de rodapé"/>
    <w:qFormat/>
  </w:style>
  <w:style w:type="character" w:customStyle="1" w:styleId="ncoradanotadefim">
    <w:name w:val="Âncora da nota de fim"/>
    <w:rPr>
      <w:vertAlign w:val="superscript"/>
    </w:rPr>
  </w:style>
  <w:style w:type="character" w:customStyle="1" w:styleId="Caracteresdenotadefim">
    <w:name w:val="Caracteres de nota de fim"/>
    <w:qFormat/>
  </w:style>
  <w:style w:type="paragraph" w:styleId="Ttulo">
    <w:name w:val="Title"/>
    <w:basedOn w:val="Normal"/>
    <w:next w:val="Corpodetexto"/>
    <w:uiPriority w:val="10"/>
    <w:qFormat/>
    <w:pPr>
      <w:keepNext/>
      <w:keepLines/>
      <w:spacing w:after="60"/>
    </w:pPr>
    <w:rPr>
      <w:sz w:val="52"/>
      <w:szCs w:val="52"/>
    </w:rPr>
  </w:style>
  <w:style w:type="paragraph" w:styleId="Corpodetexto">
    <w:name w:val="Body Text"/>
    <w:basedOn w:val="Normal"/>
    <w:pPr>
      <w:spacing w:after="140"/>
    </w:pPr>
  </w:style>
  <w:style w:type="paragraph" w:styleId="Lista">
    <w:name w:val="List"/>
    <w:basedOn w:val="Corpodetexto"/>
    <w:rPr>
      <w:rFonts w:cs="Lohit Devanagari"/>
    </w:rPr>
  </w:style>
  <w:style w:type="paragraph" w:styleId="Legenda">
    <w:name w:val="caption"/>
    <w:basedOn w:val="Normal"/>
    <w:qFormat/>
    <w:pPr>
      <w:suppressLineNumbers/>
      <w:spacing w:before="120" w:after="120"/>
    </w:pPr>
    <w:rPr>
      <w:rFonts w:cs="Lohit Devanagari"/>
      <w:i/>
      <w:iCs/>
      <w:sz w:val="24"/>
      <w:szCs w:val="24"/>
    </w:rPr>
  </w:style>
  <w:style w:type="paragraph" w:customStyle="1" w:styleId="ndice">
    <w:name w:val="Índice"/>
    <w:basedOn w:val="Normal"/>
    <w:qFormat/>
    <w:pPr>
      <w:suppressLineNumbers/>
    </w:pPr>
    <w:rPr>
      <w:rFonts w:cs="Lohit Devanagari"/>
    </w:rPr>
  </w:style>
  <w:style w:type="paragraph" w:styleId="Subttulo">
    <w:name w:val="Subtitle"/>
    <w:basedOn w:val="Normal"/>
    <w:next w:val="Normal"/>
    <w:uiPriority w:val="11"/>
    <w:qFormat/>
    <w:pPr>
      <w:keepNext/>
      <w:keepLines/>
      <w:spacing w:after="320"/>
    </w:pPr>
    <w:rPr>
      <w:color w:val="666666"/>
      <w:sz w:val="30"/>
      <w:szCs w:val="30"/>
    </w:rPr>
  </w:style>
  <w:style w:type="paragraph" w:styleId="Textodenotaderodap">
    <w:name w:val="footnote text"/>
    <w:aliases w:val=" Char,fn, Char Char Char Char Char Char, Char Char Char Char, Char Char Char, Char Char Char Char Char Char Char Char,Char Char,Char Char Char,Char Char Char Char Char,f,Char"/>
    <w:basedOn w:val="Normal"/>
    <w:uiPriority w:val="99"/>
    <w:pPr>
      <w:spacing w:line="240" w:lineRule="auto"/>
    </w:pPr>
    <w:rPr>
      <w:sz w:val="20"/>
      <w:szCs w:val="20"/>
    </w:rPr>
  </w:style>
  <w:style w:type="paragraph" w:customStyle="1" w:styleId="CabealhoeRodap">
    <w:name w:val="Cabeçalho e Rodapé"/>
    <w:basedOn w:val="Normal"/>
    <w:qFormat/>
  </w:style>
  <w:style w:type="paragraph" w:styleId="Cabealho">
    <w:name w:val="header"/>
    <w:basedOn w:val="Normal"/>
    <w:pPr>
      <w:tabs>
        <w:tab w:val="center" w:pos="4252"/>
        <w:tab w:val="right" w:pos="8504"/>
      </w:tabs>
      <w:spacing w:line="240" w:lineRule="auto"/>
    </w:pPr>
  </w:style>
  <w:style w:type="paragraph" w:styleId="Rodap">
    <w:name w:val="footer"/>
    <w:basedOn w:val="Normal"/>
    <w:pPr>
      <w:tabs>
        <w:tab w:val="center" w:pos="4252"/>
        <w:tab w:val="right" w:pos="8504"/>
      </w:tabs>
      <w:spacing w:line="240" w:lineRule="auto"/>
    </w:pPr>
  </w:style>
  <w:style w:type="paragraph" w:styleId="PargrafodaLista">
    <w:name w:val="List Paragraph"/>
    <w:basedOn w:val="Normal"/>
    <w:qFormat/>
    <w:pPr>
      <w:ind w:left="720"/>
      <w:contextualSpacing/>
    </w:pPr>
  </w:style>
  <w:style w:type="paragraph" w:styleId="NormalWeb">
    <w:name w:val="Normal (Web)"/>
    <w:basedOn w:val="Normal"/>
    <w:uiPriority w:val="99"/>
    <w:qFormat/>
    <w:pPr>
      <w:spacing w:before="280" w:after="280" w:line="240" w:lineRule="auto"/>
    </w:pPr>
    <w:rPr>
      <w:rFonts w:ascii="Times New Roman" w:eastAsia="Times New Roman" w:hAnsi="Times New Roman" w:cs="Times New Roman"/>
      <w:sz w:val="24"/>
      <w:szCs w:val="24"/>
    </w:rPr>
  </w:style>
  <w:style w:type="paragraph" w:styleId="Textodecomentrio">
    <w:name w:val="annotation text"/>
    <w:basedOn w:val="Normal"/>
    <w:qFormat/>
    <w:pPr>
      <w:spacing w:line="240" w:lineRule="auto"/>
    </w:pPr>
    <w:rPr>
      <w:sz w:val="20"/>
      <w:szCs w:val="20"/>
    </w:rPr>
  </w:style>
  <w:style w:type="paragraph" w:styleId="Assuntodocomentrio">
    <w:name w:val="annotation subject"/>
    <w:basedOn w:val="Textodecomentrio"/>
    <w:next w:val="Textodecomentrio"/>
    <w:qFormat/>
    <w:rPr>
      <w:b/>
      <w:bCs/>
    </w:rPr>
  </w:style>
  <w:style w:type="paragraph" w:styleId="Textodebalo">
    <w:name w:val="Balloon Text"/>
    <w:basedOn w:val="Normal"/>
    <w:qFormat/>
    <w:pPr>
      <w:spacing w:line="240" w:lineRule="auto"/>
    </w:pPr>
    <w:rPr>
      <w:rFonts w:ascii="Segoe UI" w:hAnsi="Segoe UI" w:cs="Segoe UI"/>
      <w:sz w:val="18"/>
      <w:szCs w:val="18"/>
    </w:rPr>
  </w:style>
  <w:style w:type="paragraph" w:customStyle="1" w:styleId="Default">
    <w:name w:val="Default"/>
    <w:qFormat/>
    <w:pPr>
      <w:overflowPunct w:val="0"/>
    </w:pPr>
    <w:rPr>
      <w:rFonts w:ascii="Calibri" w:hAnsi="Calibri" w:cs="Calibri"/>
      <w:color w:val="000000"/>
      <w:sz w:val="24"/>
      <w:szCs w:val="24"/>
    </w:rPr>
  </w:style>
  <w:style w:type="paragraph" w:customStyle="1" w:styleId="Textoprformatado">
    <w:name w:val="Texto préformatado"/>
    <w:basedOn w:val="Normal"/>
    <w:qFormat/>
    <w:pPr>
      <w:widowControl w:val="0"/>
      <w:spacing w:line="240" w:lineRule="auto"/>
    </w:pPr>
    <w:rPr>
      <w:rFonts w:ascii="Liberation Mono" w:eastAsia="NSimSun" w:hAnsi="Liberation Mono" w:cs="Liberation Mono"/>
      <w:sz w:val="20"/>
      <w:szCs w:val="20"/>
      <w:lang w:val="en-US" w:eastAsia="zh-CN" w:bidi="hi-IN"/>
    </w:rPr>
  </w:style>
  <w:style w:type="paragraph" w:customStyle="1" w:styleId="Contedodatabela">
    <w:name w:val="Conteúdo da tabela"/>
    <w:basedOn w:val="Normal"/>
    <w:qFormat/>
    <w:pPr>
      <w:suppressLineNumbers/>
    </w:pPr>
  </w:style>
  <w:style w:type="character" w:styleId="Refdenotaderodap">
    <w:name w:val="footnote reference"/>
    <w:aliases w:val="sobrescrito,Ref,de nota al pie,ftref,Footnote Reference_LVL6,Referência de rodapé,Nota de rodapé LRB"/>
    <w:basedOn w:val="Fontepargpadro"/>
    <w:uiPriority w:val="99"/>
    <w:unhideWhenUsed/>
    <w:qFormat/>
    <w:rsid w:val="00DC71F1"/>
    <w:rPr>
      <w:vertAlign w:val="superscript"/>
    </w:rPr>
  </w:style>
  <w:style w:type="character" w:styleId="Forte">
    <w:name w:val="Strong"/>
    <w:basedOn w:val="Fontepargpadro"/>
    <w:uiPriority w:val="22"/>
    <w:qFormat/>
    <w:rsid w:val="00B61BB3"/>
    <w:rPr>
      <w:b/>
      <w:bCs/>
    </w:rPr>
  </w:style>
  <w:style w:type="character" w:styleId="Hyperlink">
    <w:name w:val="Hyperlink"/>
    <w:basedOn w:val="Fontepargpadro"/>
    <w:uiPriority w:val="99"/>
    <w:unhideWhenUsed/>
    <w:rsid w:val="003817B8"/>
    <w:rPr>
      <w:color w:val="0563C1" w:themeColor="hyperlink"/>
      <w:u w:val="single"/>
    </w:rPr>
  </w:style>
  <w:style w:type="character" w:styleId="MenoPendente">
    <w:name w:val="Unresolved Mention"/>
    <w:basedOn w:val="Fontepargpadro"/>
    <w:uiPriority w:val="99"/>
    <w:semiHidden/>
    <w:unhideWhenUsed/>
    <w:rsid w:val="003817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5504537">
      <w:bodyDiv w:val="1"/>
      <w:marLeft w:val="0"/>
      <w:marRight w:val="0"/>
      <w:marTop w:val="0"/>
      <w:marBottom w:val="0"/>
      <w:divBdr>
        <w:top w:val="none" w:sz="0" w:space="0" w:color="auto"/>
        <w:left w:val="none" w:sz="0" w:space="0" w:color="auto"/>
        <w:bottom w:val="none" w:sz="0" w:space="0" w:color="auto"/>
        <w:right w:val="none" w:sz="0" w:space="0" w:color="auto"/>
      </w:divBdr>
    </w:div>
    <w:div w:id="472412943">
      <w:bodyDiv w:val="1"/>
      <w:marLeft w:val="0"/>
      <w:marRight w:val="0"/>
      <w:marTop w:val="0"/>
      <w:marBottom w:val="0"/>
      <w:divBdr>
        <w:top w:val="none" w:sz="0" w:space="0" w:color="auto"/>
        <w:left w:val="none" w:sz="0" w:space="0" w:color="auto"/>
        <w:bottom w:val="none" w:sz="0" w:space="0" w:color="auto"/>
        <w:right w:val="none" w:sz="0" w:space="0" w:color="auto"/>
      </w:divBdr>
    </w:div>
    <w:div w:id="685861302">
      <w:bodyDiv w:val="1"/>
      <w:marLeft w:val="0"/>
      <w:marRight w:val="0"/>
      <w:marTop w:val="0"/>
      <w:marBottom w:val="0"/>
      <w:divBdr>
        <w:top w:val="none" w:sz="0" w:space="0" w:color="auto"/>
        <w:left w:val="none" w:sz="0" w:space="0" w:color="auto"/>
        <w:bottom w:val="none" w:sz="0" w:space="0" w:color="auto"/>
        <w:right w:val="none" w:sz="0" w:space="0" w:color="auto"/>
      </w:divBdr>
    </w:div>
    <w:div w:id="11920365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uc.socioambiental.org/uc/4234" TargetMode="External"/><Relationship Id="rId13" Type="http://schemas.openxmlformats.org/officeDocument/2006/relationships/image" Target="media/image5.png"/><Relationship Id="rId18" Type="http://schemas.openxmlformats.org/officeDocument/2006/relationships/hyperlink" Target="https://terrasindigenas.org.br/pt-br/terras-indigenas/4712" TargetMode="External"/><Relationship Id="rId3" Type="http://schemas.openxmlformats.org/officeDocument/2006/relationships/settings" Target="settings.xml"/><Relationship Id="rId21" Type="http://schemas.openxmlformats.org/officeDocument/2006/relationships/hyperlink" Target="https://www.poder360.com.br/economia/ibama-autoriza-linhao-de-tucurui-que-passa-por-reserva-indigena/" TargetMode="Externa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www.waimiriatroari.org.br/"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terrasindigenas.org.br/pt-br/terras-indigenas/4712"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isa.to/31eiy98" TargetMode="External"/><Relationship Id="rId2" Type="http://schemas.openxmlformats.org/officeDocument/2006/relationships/hyperlink" Target="https://csr.ufmg.br/csr/wp-content/uploads/2020/11/Nota_tecnica_112020-01_pavimentacao_BR_319.pdf" TargetMode="External"/><Relationship Id="rId1" Type="http://schemas.openxmlformats.org/officeDocument/2006/relationships/hyperlink" Target="https://www1.folha.uol.com.br/ambiente/2019/09/maioria-dos-brasileiros-defende-protecao-de-florestas-onde-vivem-indios-isolados.shtml"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443BEE-CFC1-4E35-9C27-6178514078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340</TotalTime>
  <Pages>17</Pages>
  <Words>4090</Words>
  <Characters>22087</Characters>
  <Application>Microsoft Office Word</Application>
  <DocSecurity>0</DocSecurity>
  <Lines>184</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juliana</dc:creator>
  <dc:description/>
  <cp:lastModifiedBy>Antonio Oviedo</cp:lastModifiedBy>
  <cp:revision>7</cp:revision>
  <cp:lastPrinted>2020-06-25T23:25:00Z</cp:lastPrinted>
  <dcterms:created xsi:type="dcterms:W3CDTF">2021-11-13T13:00:00Z</dcterms:created>
  <dcterms:modified xsi:type="dcterms:W3CDTF">2021-11-13T19:17:00Z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